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Helvetica" w:hAnsi="Helvetica" w:cs="Arial"/>
          <w:b/>
          <w:b/>
          <w:bCs/>
          <w:caps/>
          <w:sz w:val="20"/>
        </w:rPr>
      </w:pPr>
      <w:r>
        <w:rPr>
          <w:rFonts w:cs="Arial" w:ascii="Helvetica" w:hAnsi="Helvetica"/>
          <w:b/>
          <w:bCs/>
          <w:caps/>
          <w:sz w:val="20"/>
        </w:rPr>
        <w:t>Department of the Army</w:t>
        <w:drawing>
          <wp:anchor behindDoc="0" distT="0" distB="0" distL="114300" distR="114300" simplePos="0" locked="0" layoutInCell="1" allowOverlap="1" relativeHeight="2">
            <wp:simplePos x="0" y="0"/>
            <wp:positionH relativeFrom="page">
              <wp:posOffset>457200</wp:posOffset>
            </wp:positionH>
            <wp:positionV relativeFrom="page">
              <wp:posOffset>457200</wp:posOffset>
            </wp:positionV>
            <wp:extent cx="930910" cy="922020"/>
            <wp:effectExtent l="0" t="0" r="0" b="0"/>
            <wp:wrapNone/>
            <wp:docPr id="1" name="Picture 4" descr="DOD seal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DOD seal BW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1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page">
                  <wp:posOffset>1371600</wp:posOffset>
                </wp:positionH>
                <wp:positionV relativeFrom="page">
                  <wp:posOffset>1162050</wp:posOffset>
                </wp:positionV>
                <wp:extent cx="1028700" cy="274320"/>
                <wp:effectExtent l="0" t="0" r="0" b="0"/>
                <wp:wrapNone/>
                <wp:docPr id="2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74320"/>
                        </a:xfrm>
                        <a:prstGeom prst="rect"/>
                        <a:solidFill>
                          <a:srgbClr val="FFFFFF"/>
                        </a:solidFill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rPr>
                                <w:rFonts w:ascii="Helvetica" w:hAnsi="Helvetica" w:cs="Arial"/>
                                <w:b/>
                                <w:b/>
                                <w:bCs/>
                                <w:sz w:val="12"/>
                              </w:rPr>
                            </w:pPr>
                            <w:r>
                              <w:rPr>
                                <w:rFonts w:cs="Arial" w:ascii="Helvetica" w:hAnsi="Helvetica"/>
                                <w:b/>
                                <w:bCs/>
                                <w:sz w:val="12"/>
                              </w:rPr>
                              <w:t>REPLY TO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Helvetica" w:hAnsi="Helvetica" w:cs="Arial"/>
                                <w:b/>
                                <w:b/>
                                <w:bCs/>
                                <w:sz w:val="12"/>
                              </w:rPr>
                            </w:pPr>
                            <w:r>
                              <w:rPr>
                                <w:rFonts w:cs="Arial" w:ascii="Helvetica" w:hAnsi="Helvetica"/>
                                <w:b/>
                                <w:bCs/>
                                <w:sz w:val="12"/>
                              </w:rPr>
                              <w:t>ATTENTION OF</w:t>
                            </w:r>
                          </w:p>
                        </w:txbxContent>
                      </wps:txbx>
                      <wps:bodyPr anchor="t" lIns="45720" tIns="45720" rIns="4572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81pt;height:21.6pt;mso-wrap-distance-left:9pt;mso-wrap-distance-right:9pt;mso-wrap-distance-top:0pt;mso-wrap-distance-bottom:0pt;margin-top:91.5pt;mso-position-vertical-relative:page;margin-left:108pt;mso-position-horizontal-relative:page">
                <v:textbox inset="0.05in,0.05in,0.05in">
                  <w:txbxContent>
                    <w:p>
                      <w:pPr>
                        <w:pStyle w:val="FrameContents"/>
                        <w:rPr>
                          <w:rFonts w:ascii="Helvetica" w:hAnsi="Helvetica" w:cs="Arial"/>
                          <w:b/>
                          <w:b/>
                          <w:bCs/>
                          <w:sz w:val="12"/>
                        </w:rPr>
                      </w:pPr>
                      <w:r>
                        <w:rPr>
                          <w:rFonts w:cs="Arial" w:ascii="Helvetica" w:hAnsi="Helvetica"/>
                          <w:b/>
                          <w:bCs/>
                          <w:sz w:val="12"/>
                        </w:rPr>
                        <w:t>REPLY TO</w:t>
                      </w:r>
                    </w:p>
                    <w:p>
                      <w:pPr>
                        <w:pStyle w:val="FrameContents"/>
                        <w:rPr>
                          <w:rFonts w:ascii="Helvetica" w:hAnsi="Helvetica" w:cs="Arial"/>
                          <w:b/>
                          <w:b/>
                          <w:bCs/>
                          <w:sz w:val="12"/>
                        </w:rPr>
                      </w:pPr>
                      <w:r>
                        <w:rPr>
                          <w:rFonts w:cs="Arial" w:ascii="Helvetica" w:hAnsi="Helvetica"/>
                          <w:b/>
                          <w:bCs/>
                          <w:sz w:val="12"/>
                        </w:rPr>
                        <w:t>ATTENTION OF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jc w:val="center"/>
        <w:rPr>
          <w:rFonts w:ascii="Helvetica" w:hAnsi="Helvetica" w:cs="Arial"/>
          <w:b/>
          <w:b/>
          <w:bCs/>
          <w:caps/>
          <w:sz w:val="16"/>
        </w:rPr>
      </w:pPr>
      <w:r>
        <w:rPr>
          <w:rFonts w:cs="Arial" w:ascii="Helvetica" w:hAnsi="Helvetica"/>
          <w:b/>
          <w:bCs/>
          <w:caps/>
          <w:sz w:val="16"/>
        </w:rPr>
        <w:t>HEADQUARTERS, unit name</w:t>
      </w:r>
    </w:p>
    <w:p>
      <w:pPr>
        <w:pStyle w:val="Normal"/>
        <w:jc w:val="center"/>
        <w:rPr>
          <w:rFonts w:ascii="Helvetica" w:hAnsi="Helvetica" w:cs="Arial"/>
          <w:b/>
          <w:b/>
          <w:bCs/>
          <w:caps/>
          <w:sz w:val="16"/>
          <w:lang w:val="sv-SE"/>
        </w:rPr>
      </w:pPr>
      <w:r>
        <w:rPr>
          <w:rFonts w:cs="Arial" w:ascii="Helvetica" w:hAnsi="Helvetica"/>
          <w:b/>
          <w:bCs/>
          <w:caps/>
          <w:sz w:val="16"/>
          <w:lang w:val="sv-SE"/>
        </w:rPr>
        <w:t>number Street name</w:t>
      </w:r>
    </w:p>
    <w:p>
      <w:pPr>
        <w:pStyle w:val="Normal"/>
        <w:jc w:val="center"/>
        <w:rPr>
          <w:rFonts w:ascii="Helvetica" w:hAnsi="Helvetica" w:cs="Arial"/>
          <w:b/>
          <w:b/>
          <w:bCs/>
          <w:caps/>
          <w:sz w:val="16"/>
          <w:lang w:val="sv-SE"/>
        </w:rPr>
      </w:pPr>
      <w:r>
        <w:rPr>
          <w:rFonts w:cs="Arial" w:ascii="Helvetica" w:hAnsi="Helvetica"/>
          <w:b/>
          <w:bCs/>
          <w:caps/>
          <w:sz w:val="16"/>
          <w:lang w:val="sv-SE"/>
        </w:rPr>
        <w:t>installation, state zip-code</w:t>
      </w:r>
    </w:p>
    <w:p>
      <w:pPr>
        <w:pStyle w:val="Normal"/>
        <w:jc w:val="center"/>
        <w:rPr>
          <w:rFonts w:ascii="Helvetica" w:hAnsi="Helvetica" w:cs="Arial"/>
          <w:b/>
          <w:b/>
          <w:bCs/>
          <w:caps/>
          <w:sz w:val="16"/>
          <w:lang w:val="sv-SE"/>
        </w:rPr>
      </w:pPr>
      <w:r>
        <w:rPr>
          <w:rFonts w:cs="Arial" w:ascii="Helvetica" w:hAnsi="Helvetica"/>
          <w:b/>
          <w:bCs/>
          <w:caps/>
          <w:sz w:val="16"/>
          <w:lang w:val="sv-SE"/>
        </w:rPr>
      </w:r>
    </w:p>
    <w:p>
      <w:pPr>
        <w:pStyle w:val="Normal"/>
        <w:jc w:val="right"/>
        <w:rPr>
          <w:lang w:val="sv-SE"/>
        </w:rPr>
      </w:pPr>
      <w:r>
        <w:rPr>
          <w:lang w:val="sv-SE"/>
        </w:rPr>
      </w:r>
    </w:p>
    <w:p>
      <w:pPr>
        <w:pStyle w:val="Normal"/>
        <w:tabs>
          <w:tab w:val="center" w:pos="4680" w:leader="none"/>
          <w:tab w:val="right" w:pos="9360" w:leader="none"/>
        </w:tabs>
        <w:rPr>
          <w:lang w:val="sv-SE"/>
        </w:rPr>
      </w:pPr>
      <w:r>
        <w:rPr>
          <w:lang w:val="sv-SE"/>
        </w:rPr>
      </w:r>
    </w:p>
    <w:p>
      <w:pPr>
        <w:pStyle w:val="Normal"/>
        <w:tabs>
          <w:tab w:val="center" w:pos="4680" w:leader="none"/>
          <w:tab w:val="right" w:pos="9360" w:leader="none"/>
        </w:tabs>
        <w:rPr/>
      </w:pPr>
      <w:bookmarkStart w:id="0" w:name="OLE_LINK1"/>
      <w:bookmarkEnd w:id="0"/>
      <w:r>
        <w:rPr>
          <w:lang w:val="sv-SE"/>
        </w:rPr>
        <w:t>Office Symbol</w:t>
        <w:tab/>
        <w:tab/>
      </w:r>
      <w:r>
        <w:rPr/>
        <w:t>date</w:t>
      </w:r>
    </w:p>
    <w:p>
      <w:pPr>
        <w:pStyle w:val="Normal"/>
        <w:rPr/>
      </w:pPr>
      <w:bookmarkStart w:id="1" w:name="OLE_LINK1"/>
      <w:bookmarkStart w:id="2" w:name="OLE_LINK1"/>
      <w:bookmarkEnd w:id="2"/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MEMORANDUM FOR SEE DISTRIBUTION</w:t>
      </w:r>
    </w:p>
    <w:p>
      <w:pPr>
        <w:pStyle w:val="Normal"/>
        <w:rPr/>
      </w:pPr>
      <w:r>
        <w:rPr/>
      </w:r>
    </w:p>
    <w:p>
      <w:pPr>
        <w:pStyle w:val="Normal"/>
        <w:rPr/>
      </w:pPr>
      <w:bookmarkStart w:id="3" w:name="OLE_LINK2"/>
      <w:bookmarkEnd w:id="3"/>
      <w:r>
        <w:rPr/>
        <w:t>SUBJECT: Memorandum Template</w:t>
      </w:r>
    </w:p>
    <w:p>
      <w:pPr>
        <w:pStyle w:val="Normal"/>
        <w:rPr/>
      </w:pPr>
      <w:bookmarkStart w:id="4" w:name="OLE_LINK2"/>
      <w:bookmarkStart w:id="5" w:name="OLE_LINK2"/>
      <w:bookmarkEnd w:id="5"/>
      <w:r>
        <w:rPr/>
      </w:r>
    </w:p>
    <w:p>
      <w:pPr>
        <w:pStyle w:val="ArmyMemoPara"/>
        <w:numPr>
          <w:ilvl w:val="0"/>
          <w:numId w:val="1"/>
        </w:numPr>
        <w:rPr/>
      </w:pPr>
      <w:r>
        <w:rPr/>
        <w:t>References:</w:t>
      </w:r>
    </w:p>
    <w:p>
      <w:pPr>
        <w:pStyle w:val="ArmyMemoPara"/>
        <w:numPr>
          <w:ilvl w:val="1"/>
          <w:numId w:val="1"/>
        </w:numPr>
        <w:rPr/>
      </w:pPr>
      <w:r>
        <w:rPr/>
        <w:t>Reference 1</w:t>
      </w:r>
    </w:p>
    <w:p>
      <w:pPr>
        <w:pStyle w:val="ArmyMemoPara"/>
        <w:numPr>
          <w:ilvl w:val="1"/>
          <w:numId w:val="1"/>
        </w:numPr>
        <w:rPr/>
      </w:pPr>
      <w:r>
        <w:rPr/>
        <w:t>Reference 2</w:t>
      </w:r>
    </w:p>
    <w:p>
      <w:pPr>
        <w:pStyle w:val="ArmyMemoPara"/>
        <w:numPr>
          <w:ilvl w:val="0"/>
          <w:numId w:val="1"/>
        </w:numPr>
        <w:rPr/>
      </w:pPr>
      <w:r>
        <w:rPr/>
        <w:t>xxxxxxxxxxxxxxxxxxxxxxxxxxxxxxxxxxx</w:t>
      </w:r>
    </w:p>
    <w:p>
      <w:pPr>
        <w:pStyle w:val="ArmyMemoPara"/>
        <w:numPr>
          <w:ilvl w:val="0"/>
          <w:numId w:val="1"/>
        </w:numPr>
        <w:rPr/>
      </w:pPr>
      <w:r>
        <w:rPr/>
        <w:t>xxxxxxxxxxxxxxxxxxxxxxxxxxxxxxxxxxx</w:t>
      </w:r>
    </w:p>
    <w:p>
      <w:pPr>
        <w:pStyle w:val="ArmyMemoPara"/>
        <w:keepNext w:val="true"/>
        <w:numPr>
          <w:ilvl w:val="0"/>
          <w:numId w:val="1"/>
        </w:numPr>
        <w:rPr/>
      </w:pPr>
      <w:r>
        <w:rPr/>
        <w:t>The point of contact is Name at DSN xxx-xxxx, commercial (xxx) xxx-xxxx or name@us.army.mil.</w:t>
      </w:r>
    </w:p>
    <w:p>
      <w:pPr>
        <w:pStyle w:val="Normal"/>
        <w:keepNext w:val="true"/>
        <w:rPr/>
      </w:pPr>
      <w:r>
        <w:rPr/>
      </w:r>
    </w:p>
    <w:tbl>
      <w:tblPr>
        <w:tblW w:w="9577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8"/>
        <w:gridCol w:w="4789"/>
      </w:tblGrid>
      <w:tr>
        <w:trPr>
          <w:cantSplit w:val="true"/>
        </w:trPr>
        <w:tc>
          <w:tcPr>
            <w:tcW w:w="4788" w:type="dxa"/>
            <w:tcBorders/>
            <w:shd w:fill="auto" w:val="clear"/>
          </w:tcPr>
          <w:p>
            <w:pPr>
              <w:pStyle w:val="Normal"/>
              <w:keepNext w:val="true"/>
              <w:keepLines/>
              <w:rPr/>
            </w:pPr>
            <w:r>
              <w:rPr/>
              <w:t>FOR THE COMMANDER:</w:t>
            </w:r>
          </w:p>
          <w:p>
            <w:pPr>
              <w:pStyle w:val="Normal"/>
              <w:keepNext w:val="true"/>
              <w:keepLines/>
              <w:rPr/>
            </w:pPr>
            <w:r>
              <w:rPr/>
            </w:r>
          </w:p>
          <w:p>
            <w:pPr>
              <w:pStyle w:val="Normal"/>
              <w:keepNext w:val="true"/>
              <w:keepLines/>
              <w:rPr/>
            </w:pPr>
            <w:r>
              <w:rPr/>
            </w:r>
          </w:p>
          <w:p>
            <w:pPr>
              <w:pStyle w:val="Normal"/>
              <w:keepNext w:val="true"/>
              <w:keepLines/>
              <w:rPr/>
            </w:pPr>
            <w:r>
              <w:rPr/>
            </w:r>
          </w:p>
          <w:p>
            <w:pPr>
              <w:pStyle w:val="Normal"/>
              <w:keepNext w:val="true"/>
              <w:keepLines/>
              <w:rPr/>
            </w:pPr>
            <w:r>
              <w:rPr/>
            </w:r>
          </w:p>
        </w:tc>
        <w:tc>
          <w:tcPr>
            <w:tcW w:w="4789" w:type="dxa"/>
            <w:tcBorders/>
            <w:shd w:fill="auto" w:val="clear"/>
          </w:tcPr>
          <w:p>
            <w:pPr>
              <w:pStyle w:val="Normal"/>
              <w:keepNext w:val="true"/>
              <w:keepLines/>
              <w:ind w:left="-108" w:right="0" w:hanging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4788" w:type="dxa"/>
            <w:tcBorders/>
            <w:shd w:fill="auto" w:val="clear"/>
            <w:tcMar>
              <w:left w:w="115" w:type="dxa"/>
              <w:right w:w="1080" w:type="dxa"/>
            </w:tcMar>
          </w:tcPr>
          <w:p>
            <w:pPr>
              <w:pStyle w:val="Normal"/>
              <w:keepLines/>
              <w:rPr/>
            </w:pPr>
            <w:r>
              <w:rPr/>
            </w:r>
          </w:p>
        </w:tc>
        <w:tc>
          <w:tcPr>
            <w:tcW w:w="4789" w:type="dxa"/>
            <w:tcBorders/>
            <w:shd w:fill="auto" w:val="clear"/>
          </w:tcPr>
          <w:p>
            <w:pPr>
              <w:pStyle w:val="Normal"/>
              <w:keepLines/>
              <w:ind w:left="-108" w:right="0" w:hanging="0"/>
              <w:rPr/>
            </w:pPr>
            <w:r>
              <w:rPr/>
              <w:t>John Doe</w:t>
            </w:r>
          </w:p>
          <w:p>
            <w:pPr>
              <w:pStyle w:val="Normal"/>
              <w:keepLines/>
              <w:ind w:left="-108" w:right="0" w:hanging="0"/>
              <w:rPr/>
            </w:pPr>
            <w:r>
              <w:rPr/>
              <w:t>MSG, US Army</w:t>
            </w:r>
          </w:p>
          <w:p>
            <w:pPr>
              <w:pStyle w:val="Normal"/>
              <w:keepLines/>
              <w:ind w:left="-108" w:right="0" w:hanging="0"/>
              <w:rPr/>
            </w:pPr>
            <w:r>
              <w:rPr/>
              <w:t>Operations NCO</w:t>
            </w:r>
          </w:p>
          <w:p>
            <w:pPr>
              <w:pStyle w:val="Normal"/>
              <w:keepLines/>
              <w:ind w:left="-108" w:right="0" w:hanging="0"/>
              <w:rPr/>
            </w:pPr>
            <w:r>
              <w:rPr/>
            </w:r>
          </w:p>
        </w:tc>
      </w:tr>
    </w:tbl>
    <w:p>
      <w:pPr>
        <w:pStyle w:val="Normal"/>
        <w:keepNext w:val="true"/>
        <w:rPr/>
      </w:pPr>
      <w:r>
        <w:rPr/>
        <w:t>DISTRIBUTION:</w:t>
      </w:r>
    </w:p>
    <w:p>
      <w:pPr>
        <w:pStyle w:val="Normal"/>
        <w:rPr/>
      </w:pPr>
      <w:r>
        <w:rPr/>
        <w:t>1-Cdr/1SG, HHC, ESB</w:t>
      </w:r>
    </w:p>
    <w:p>
      <w:pPr>
        <w:pStyle w:val="Normal"/>
        <w:rPr/>
      </w:pPr>
      <w:r>
        <w:rPr/>
        <w:t>1-Cdr/1SG, A Co., ESB</w:t>
      </w:r>
    </w:p>
    <w:p>
      <w:pPr>
        <w:pStyle w:val="Normal"/>
        <w:rPr/>
      </w:pPr>
      <w:r>
        <w:rPr/>
        <w:t>1-Cdr/1SG, B Co., ESB</w:t>
      </w:r>
    </w:p>
    <w:p>
      <w:pPr>
        <w:pStyle w:val="Normal"/>
        <w:rPr/>
      </w:pPr>
      <w:r>
        <w:rPr/>
        <w:t xml:space="preserve">1-Cdr/1SG, C Co., ESB </w:t>
      </w:r>
    </w:p>
    <w:p>
      <w:pPr>
        <w:pStyle w:val="Normal"/>
        <w:rPr/>
      </w:pPr>
      <w:r>
        <w:rPr/>
        <w:t>1-Cdr, ESB, ATTN: Bn XO</w:t>
      </w:r>
    </w:p>
    <w:p>
      <w:pPr>
        <w:pStyle w:val="Normal"/>
        <w:rPr/>
      </w:pPr>
      <w:r>
        <w:rPr/>
        <w:t>1-Cdr, ESB, ATTN: Bn S-1</w:t>
      </w:r>
    </w:p>
    <w:p>
      <w:pPr>
        <w:pStyle w:val="Normal"/>
        <w:rPr/>
      </w:pPr>
      <w:r>
        <w:rPr/>
        <w:t>1-Cdr, ESB, ATTN: Bn S-2</w:t>
      </w:r>
    </w:p>
    <w:p>
      <w:pPr>
        <w:pStyle w:val="Normal"/>
        <w:rPr/>
      </w:pPr>
      <w:r>
        <w:rPr/>
        <w:t>1-Cdr, ESB, ATTN: Bn S-3</w:t>
      </w:r>
    </w:p>
    <w:p>
      <w:pPr>
        <w:pStyle w:val="Normal"/>
        <w:rPr/>
      </w:pPr>
      <w:r>
        <w:rPr/>
        <w:t>1-Cdr, ESB, ATTN: Bn S-4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3"/>
      <w:footerReference w:type="default" r:id="rId4"/>
      <w:type w:val="nextPage"/>
      <w:pgSz w:w="12240" w:h="15840"/>
      <w:pgMar w:left="1440" w:right="1440" w:header="1440" w:top="1497" w:footer="1440" w:bottom="1497" w:gutter="0"/>
      <w:pgNumType w:fmt="decimal"/>
      <w:formProt w:val="false"/>
      <w:titlePg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Helvetica">
    <w:altName w:val="Arial"/>
    <w:charset w:val="00"/>
    <w:family w:val="roman"/>
    <w:pitch w:val="variable"/>
  </w:font>
  <w:font w:name="Symbol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>
        <w:rStyle w:val="Pagenumber"/>
      </w:rPr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enter" w:pos="4680" w:leader="none"/>
        <w:tab w:val="right" w:pos="9360" w:leader="none"/>
      </w:tabs>
      <w:rPr/>
    </w:pPr>
    <w:r>
      <w:rPr>
        <w:lang w:val="sv-SE"/>
      </w:rPr>
      <w:t>AFFH-SGF-OP</w:t>
      <w:tab/>
      <w:tab/>
    </w:r>
    <w:r>
      <w:rPr/>
      <w:t>9 December 2009</w:t>
    </w:r>
  </w:p>
  <w:p>
    <w:pPr>
      <w:pStyle w:val="Normal"/>
      <w:rPr>
        <w:lang w:val="pt-BR"/>
      </w:rPr>
    </w:pPr>
    <w:r>
      <w:rPr>
        <w:lang w:val="pt-BR"/>
      </w:rPr>
      <w:t>SUBJECT: Memorandum Template</w:t>
    </w:r>
  </w:p>
  <w:p>
    <w:pPr>
      <w:pStyle w:val="Normal"/>
      <w:rPr>
        <w:lang w:val="pt-BR"/>
      </w:rPr>
    </w:pPr>
    <w:r>
      <w:rPr>
        <w:lang w:val="pt-BR"/>
      </w:rPr>
    </w:r>
  </w:p>
  <w:p>
    <w:pPr>
      <w:pStyle w:val="Normal"/>
      <w:rPr>
        <w:lang w:val="pt-BR"/>
      </w:rPr>
    </w:pPr>
    <w:r>
      <w:rPr>
        <w:lang w:val="pt-BR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suff w:val="space"/>
      <w:lvlText w:val="%1."/>
      <w:lvlJc w:val="left"/>
      <w:pPr>
        <w:ind w:left="0" w:hanging="0"/>
      </w:pPr>
    </w:lvl>
    <w:lvl w:ilvl="1">
      <w:start w:val="1"/>
      <w:numFmt w:val="lowerLetter"/>
      <w:suff w:val="space"/>
      <w:lvlText w:val="%2."/>
      <w:lvlJc w:val="left"/>
      <w:pPr>
        <w:ind w:left="0" w:hanging="-360"/>
      </w:pPr>
    </w:lvl>
    <w:lvl w:ilvl="2">
      <w:start w:val="1"/>
      <w:numFmt w:val="decimal"/>
      <w:suff w:val="space"/>
      <w:lvlText w:val="(%3)"/>
      <w:lvlJc w:val="left"/>
      <w:pPr>
        <w:ind w:left="0" w:hanging="-720"/>
      </w:pPr>
    </w:lvl>
    <w:lvl w:ilvl="3">
      <w:start w:val="1"/>
      <w:numFmt w:val="lowerLetter"/>
      <w:suff w:val="space"/>
      <w:lvlText w:val="(%4)"/>
      <w:lvlJc w:val="left"/>
      <w:pPr>
        <w:ind w:left="0" w:hanging="-720"/>
      </w:pPr>
    </w:lvl>
    <w:lvl w:ilvl="4">
      <w:start w:val="1"/>
      <w:numFmt w:val="bullet"/>
      <w:suff w:val="space"/>
      <w:lvlText w:val=""/>
      <w:lvlJc w:val="left"/>
      <w:pPr>
        <w:ind w:left="0" w:hanging="-360"/>
      </w:pPr>
      <w:rPr>
        <w:rFonts w:ascii="Symbol" w:hAnsi="Symbol" w:cs="Symbol" w:hint="default"/>
        <w:color w:val="00000A"/>
      </w:rPr>
    </w:lvl>
    <w:lvl w:ilvl="5">
      <w:start w:val="1"/>
      <w:numFmt w:val="bullet"/>
      <w:suff w:val="space"/>
      <w:lvlText w:val=""/>
      <w:lvlJc w:val="left"/>
      <w:pPr>
        <w:ind w:left="0" w:hanging="-360"/>
      </w:pPr>
      <w:rPr>
        <w:rFonts w:ascii="Symbol" w:hAnsi="Symbol" w:cs="Symbol" w:hint="default"/>
        <w:color w:val="00000A"/>
      </w:rPr>
    </w:lvl>
    <w:lvl w:ilvl="6">
      <w:start w:val="1"/>
      <w:numFmt w:val="bullet"/>
      <w:suff w:val="space"/>
      <w:lvlText w:val=""/>
      <w:lvlJc w:val="left"/>
      <w:pPr>
        <w:ind w:left="0" w:hanging="-720"/>
      </w:pPr>
      <w:rPr>
        <w:rFonts w:ascii="Symbol" w:hAnsi="Symbol" w:cs="Symbol" w:hint="default"/>
        <w:color w:val="00000A"/>
      </w:rPr>
    </w:lvl>
    <w:lvl w:ilvl="7">
      <w:start w:val="1"/>
      <w:numFmt w:val="bullet"/>
      <w:suff w:val="space"/>
      <w:lvlText w:val=""/>
      <w:lvlJc w:val="left"/>
      <w:pPr>
        <w:ind w:left="0" w:hanging="-720"/>
      </w:pPr>
      <w:rPr>
        <w:rFonts w:ascii="Symbol" w:hAnsi="Symbol" w:cs="Symbol" w:hint="default"/>
        <w:color w:val="00000A"/>
      </w:rPr>
    </w:lvl>
    <w:lvl w:ilvl="8">
      <w:start w:val="1"/>
      <w:numFmt w:val="none"/>
      <w:suff w:val="nothing"/>
      <w:lvlText w:val=""/>
      <w:lvlJc w:val="left"/>
      <w:pPr>
        <w:ind w:left="0" w:hanging="-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0"/>
        <w:lang w:val="en-US" w:eastAsia="en-US" w:bidi="ar-SA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color w:val="auto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qFormat/>
    <w:rPr/>
  </w:style>
  <w:style w:type="character" w:styleId="ListLabel1">
    <w:name w:val="ListLabel 1"/>
    <w:qFormat/>
    <w:rPr>
      <w:color w:val="00000A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" w:cs="Droid 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ArmyMemo">
    <w:name w:val="Army Memo"/>
    <w:basedOn w:val="Normal"/>
    <w:qFormat/>
    <w:pPr>
      <w:numPr>
        <w:ilvl w:val="0"/>
        <w:numId w:val="1"/>
      </w:numPr>
    </w:pPr>
    <w:rPr/>
  </w:style>
  <w:style w:type="paragraph" w:styleId="ArmyMemoPara">
    <w:name w:val="Army Memo Para"/>
    <w:basedOn w:val="ArmyMemo"/>
    <w:qFormat/>
    <w:pPr>
      <w:numPr>
        <w:ilvl w:val="0"/>
        <w:numId w:val="1"/>
      </w:numPr>
      <w:spacing w:before="240" w:after="0"/>
    </w:pPr>
    <w:rPr/>
  </w:style>
  <w:style w:type="paragraph" w:styleId="Footer">
    <w:name w:val="Foot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113</Words>
  <CharactersWithSpaces>720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2019-01-29T17:04:34Z</dcterms:created>
  <dc:creator/>
  <dc:description>This &lt;a href="http://www.tidyform.com/download/army-memorandum-template-1.html"&gt;Army Memorandum Template 1&lt;/a&gt; are free to download and edit. For more related templates, see &lt;a href="http://www.tidyform.com/army-memorandum-template.html"&gt;Army Memorandum Template&lt;/a&gt; of &lt;a href="http://www.tidyform.com/military-form.html"&gt;Military Form&lt;/a&gt;. More than 640 templates of &lt;a href="http://www.tidyform.com/miscellaneous.html"&gt;Miscellaneous&lt;/a&gt; category are offered by &lt;a href="www.tidyform.com"&gt;TidyForm&lt;/a&gt;.</dc:description>
  <cp:keywords>military form army memorandum template</cp:keywords>
  <dc:language>en-US</dc:language>
  <cp:lastModifiedBy/>
  <cp:revision>1</cp:revision>
  <dc:subject>Business: Miscellaneous</dc:subject>
  <dc:title>Army Memorandum Template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Personal Use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