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twenty-five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2023-09-04T10:24:26Z</dcterms:created>
  <dc:creator/>
  <dc:description>This template uses an image from a scan of the historical book
Asagao sanjuu-rokka sen "pictures of morning glories"
Date: 1854
Author: Banka-en
Template twenty-five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twenty-five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