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role of the **Architect** in **Senegal Dakar** emerges as a pivotal element in shaping the socio-cultural and environmental fabric of this dynamic West African metropolis. As a rapidly urbanizing city grappling with demographic shifts, infrastructural demands, and cultural preservation challenges, **Senegal Dakar** presents unique opportunities and complexities for architectural practice. This academic abstract explores the multifaceted responsibilities of **Architects** in **Senegal Dakar**, emphasizing their critical role in reconciling modern development with traditional heritage, addressing climate vulnerabilities, and fostering inclusive urban spaces. Through an interdisciplinary lens, this document analyzes how architects navigate local contexts while adhering to global sustainability standards, ensuring that built environments reflect the identity of **Senegal Dakar** without compromising ecological integrity or social equity.</w:t>
      </w:r>
      <w:r>
        <w:t xml:space="preserve"> </w:t>
      </w:r>
      <w:r>
        <w:t xml:space="preserve">The **Architect** in **Senegal Dakar** operates within a socio-political landscape defined by rapid urbanization, where informal settlements expand alongside high-end developments. According to the World Bank (2023), over 60% of Senegal’s population resides in urban areas, with **Dakar** experiencing an annual growth rate of 4%. This demographic surge necessitates innovative solutions from **Architects**, who must design structures that are not only resilient against tropical climates—characterized by high humidity, solar radiation, and seasonal flooding—but also responsive to the cultural practices of local communities. Traditional Senegalese architecture, with its use of mud-brick construction (*adobe*), latticed wooden screens (*maya*), and open-air courtyards, offers valuable lessons for contemporary architects. However, modernization pressures often prioritize concrete and steel structures that fail to integrate these vernacular elements, risking the erosion of cultural identity. Thus, **Architects** in **Senegal Dakar** must balance functional modernity with the preservation of heritage through adaptive reuse and context-sensitive design strategies.</w:t>
      </w:r>
      <w:r>
        <w:t xml:space="preserve"> </w:t>
      </w:r>
      <w:r>
        <w:t xml:space="preserve">A significant challenge for **Architects** in **Senegal Dakar** is addressing environmental sustainability within a climate that demands energy-efficient designs. The city’s coastal location exposes it to rising sea levels, while its interior regions face desertification risks. Architects must incorporate passive cooling techniques, such as shaded walkways and natural ventilation systems, to mitigate the urban heat island effect. Additionally, the integration of renewable energy sources—such as solar panels for low-income housing or green roofs in commercial zones—has become a priority. The *Centre de Conférence Blaise Diagne* in **Dakar**, designed by Italian firm Stefano Boeri Associati, exemplifies this trend, combining modern aesthetics with sustainable materials and energy-efficient systems. Such projects underscore the potential for **Architects** to pioneer models of resilience that align with global climate goals while respecting local ecosystems.</w:t>
      </w:r>
      <w:r>
        <w:t xml:space="preserve"> </w:t>
      </w:r>
      <w:r>
        <w:t xml:space="preserve">Equally critical is the socio-economic dimension of architectural practice in **Senegal Dakar**. The city’s urban poor, concentrated in peripheral neighborhoods like Pikine and Guédiawaye, lack access to adequate housing, sanitation, and public infrastructure. **Architects** must collaborate with policymakers and community stakeholders to develop affordable housing solutions that prioritize dignity and safety. This involves rethinking construction methods—such as prefabrication or modular design—to reduce costs without compromising quality. Furthermore, architects can advocate for policies that incentivize the use of locally sourced materials like baobab wood or coconut fiber, thereby supporting regional economies while reducing carbon footprints. The role of **Architects** here extends beyond design; they become agents of social change by embedding equity into the very DNA of urban planning.</w:t>
      </w:r>
      <w:r>
        <w:t xml:space="preserve"> </w:t>
      </w:r>
      <w:r>
        <w:t xml:space="preserve">The academic discourse on architecture in **Senegal Dakar** also highlights the need for educational reform to cultivate a new generation of architects attuned to local challenges. Universities such as the Ecole Polytechnique de Thiès and Cheikh Anta Diop University in Dakar must integrate curricula that emphasize vernacular knowledge, climate-responsive design, and participatory planning. By fostering interdisciplinary collaboration with sociologists, environmental scientists, and engineers, **Architects** can develop holistic solutions tailored to **Senegal Dakar**’s unique needs. This approach not only elevates the profession but also ensures that architectural practice remains rooted in the realities of the communities it serves.</w:t>
      </w:r>
      <w:r>
        <w:t xml:space="preserve"> </w:t>
      </w:r>
      <w:r>
        <w:t xml:space="preserve">In conclusion, the **Architect** in **Senegal Dakar** occupies a central position in navigating the city’s complex interplay of tradition and modernity, sustainability and growth, and equity and innovation. Through thoughtful design, interdisciplinary engagement, and cultural sensitivity, architects can transform **Dakar** into a model of resilient urbanism that honors its past while embracing its future. This academic exploration underscores the imperative for **Architects** to act as stewards of both built environments and societal values in **Senegal Dakar**, ensuring that architecture remains a force for inclusive, sustainable, and culturally rich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2026-05-01T07:33:07Z</dcterms:created>
  <dcterms:modified xsi:type="dcterms:W3CDTF">2026-05-01T07:33:07Z</dcterms:modified>
</cp:coreProperties>
</file>

<file path=docProps/custom.xml><?xml version="1.0" encoding="utf-8"?>
<Properties xmlns="http://schemas.openxmlformats.org/officeDocument/2006/custom-properties" xmlns:vt="http://schemas.openxmlformats.org/officeDocument/2006/docPropsVTypes"/>
</file>