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f8169803b8d07932b2ffcafebe619395811d22"/>
    <w:p>
      <w:pPr>
        <w:pStyle w:val="Heading1"/>
      </w:pPr>
      <w:r>
        <w:t xml:space="preserve">Abstract Academic Document on the Role of Auditor in Germany Berlin</w:t>
      </w:r>
    </w:p>
    <w:p>
      <w:pPr>
        <w:pStyle w:val="FirstParagraph"/>
      </w:pPr>
      <w:r>
        <w:rPr>
          <w:bCs/>
          <w:b/>
        </w:rPr>
        <w:t xml:space="preserve">Abstract:</w:t>
      </w:r>
    </w:p>
    <w:p>
      <w:pPr>
        <w:pStyle w:val="BodyText"/>
      </w:pPr>
      <w:r>
        <w:t xml:space="preserve">The role of an auditor is a critical component of financial accountability, regulatory compliance, and corporate governance in modern economies. This academic abstract explores the significance, responsibilities, and evolving challenges faced by auditors operating within the unique legal and economic framework of Germany Berlin. As a major European hub for business innovation, technology, and finance, Berlin presents distinct regulatory landscapes that shape the demands placed on auditors. This document examines how auditors in Germany Berlin navigate national laws such as the German Commercial Code (HGB), European Union directives, and localized compliance standards to ensure transparency, accuracy, and ethical integrity in financial reporting.</w:t>
      </w:r>
    </w:p>
    <w:p>
      <w:pPr>
        <w:pStyle w:val="BodyText"/>
      </w:pPr>
      <w:r>
        <w:t xml:space="preserve">The auditor’s role in Germany is legally defined by stringent regulations that emphasize independence, objectivity, and adherence to international auditing standards. In Berlin, where a diverse array of industries—from startup ecosystems to multinational corporations—coexist, auditors must possess not only technical expertise but also cultural awareness and adaptability. This abstract highlights the specific responsibilities of auditors in Germany Berlin, including their obligation to verify financial statements, assess internal controls, and report findings to regulatory bodies such as the German Federal Financial Supervisory Authority (BaFin). Additionally, it underscores the increasing importance of digital transformation in auditing practices within this dynamic city.</w:t>
      </w:r>
    </w:p>
    <w:p>
      <w:pPr>
        <w:pStyle w:val="BodyText"/>
      </w:pPr>
      <w:r>
        <w:t xml:space="preserve">Germany’s legal system mandates that auditors hold specific qualifications and certifications. In Berlin, professionals must be licensed by the Institute of Auditors (IDW) and comply with the German Auditing Standards (IDS). These standards align with International Standards on Auditing (ISA) while incorporating local nuances, such as tax regulations and corporate governance expectations. For instance, auditors in Berlin are frequently tasked with evaluating compliance with Germany’s strict data protection laws, including the General Data Protection Regulation (GDPR), which requires meticulous documentation and risk management protocols. This dual focus on national and EU-wide regulations positions auditors as pivotal figures in ensuring that companies operating in Berlin meet both legal and ethical benchmarks.</w:t>
      </w:r>
    </w:p>
    <w:p>
      <w:pPr>
        <w:pStyle w:val="BodyText"/>
      </w:pPr>
      <w:r>
        <w:t xml:space="preserve">The academic discourse surrounding auditors in Germany Berlin also emphasizes their role in fostering public trust. By scrutinizing financial records and identifying discrepancies, auditors contribute to the credibility of corporate entities and the broader economy. In a city like Berlin, where transparency is often prioritized in public administration and private enterprise alike, the auditor’s work extends beyond mere compliance to include risk mitigation for stakeholders. This includes evaluating internal audit processes within organizations, ensuring adherence to anti-fraud measures, and recommending improvements to financial systems.</w:t>
      </w:r>
    </w:p>
    <w:p>
      <w:pPr>
        <w:pStyle w:val="BodyText"/>
      </w:pPr>
      <w:r>
        <w:t xml:space="preserve">Moreover, the academic analysis of auditors in Germany Berlin must address the challenges posed by rapid technological advancements. As digitalization transforms business operations, auditors are increasingly required to assess the reliability of automated systems, cybersecurity frameworks, and data analytics tools used for financial reporting. In Berlin’s tech-driven environment, where startups and scale-ups dominate innovation sectors, auditors face unique demands to evaluate emerging technologies such as blockchain applications or AI-driven financial algorithms. This necessitates continuous education and collaboration with IT specialists to ensure that auditing practices remain relevant and robust in an evolving digital landscape.</w:t>
      </w:r>
    </w:p>
    <w:p>
      <w:pPr>
        <w:pStyle w:val="BodyText"/>
      </w:pPr>
      <w:r>
        <w:t xml:space="preserve">Another critical aspect of the auditor’s role in Germany Berlin is their responsibility toward sustainability reporting. With increasing emphasis on environmental, social, and governance (ESG) criteria, auditors are now expected to verify not only financial data but also non-financial metrics such as carbon footprints or diversity initiatives. Berlin’s commitment to sustainable urban development further amplifies this demand, requiring auditors to integrate ESG standards into their assessments of local businesses and public institutions.</w:t>
      </w:r>
    </w:p>
    <w:p>
      <w:pPr>
        <w:pStyle w:val="BodyText"/>
      </w:pPr>
      <w:r>
        <w:t xml:space="preserve">The academic literature on auditors in Germany Berlin also highlights the importance of cross-cultural competence. As a global city attracting professionals from diverse backgrounds, Berlin’s auditing profession must address language barriers, varying accounting practices, and cultural expectations among multinational clients. Auditors are expected to navigate these complexities while maintaining the high ethical standards required by German law.</w:t>
      </w:r>
    </w:p>
    <w:p>
      <w:pPr>
        <w:pStyle w:val="BodyText"/>
      </w:pPr>
      <w:r>
        <w:t xml:space="preserve">In conclusion, this abstract academic document underscores the indispensable role of auditors in Germany Berlin as guardians of financial integrity and compliance. Their responsibilities extend beyond traditional auditing functions to encompass digital transformation, sustainability reporting, and cross-cultural collaboration. As Berlin continues to grow as a center for innovation and economic activity, the demand for skilled auditors who can adapt to regulatory changes and technological advancements will remain paramount. This analysis reinforces the necessity of continuous education, ethical rigor, and interdisciplinary expertise in shaping the future of auditing practices within Germany Berlin.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Germany Berlin</dc:title>
  <dc:creator/>
  <dc:language>en</dc:language>
  <cp:keywords/>
  <dcterms:created xsi:type="dcterms:W3CDTF">2026-07-15T04:51:05Z</dcterms:created>
  <dcterms:modified xsi:type="dcterms:W3CDTF">2026-07-15T04:51:05Z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