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Auditor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0" w:name="X3515755e803923bb01d900d2aac9adb63f1ec20"/>
    <w:p>
      <w:pPr>
        <w:pStyle w:val="Heading1"/>
      </w:pPr>
      <w:r>
        <w:t xml:space="preserve">Abstract Academic: The Role and Significance of the Auditor in Kuwait, Kuwait City</w:t>
      </w:r>
    </w:p>
    <w:p>
      <w:pPr>
        <w:pStyle w:val="FirstParagraph"/>
      </w:pPr>
      <w:r>
        <w:t xml:space="preserve">The role of an auditor in the context of modern economic systems is indispensable, serving as a critical guardian of financial integrity and regulatory compliance. In the specific geopolitical and economic framework of Kuwait City, located within the State of Kuwait, this role assumes unique dimensions shaped by local legislation, cultural norms, and global financial standards. This abstract academic document explores the multifaceted responsibilities of an auditor in Kuwait City, emphasizing their pivotal function in ensuring transparency, accountability, and adherence to both national and international auditing principles. Given the strategic importance of Kuwait as a hub for regional economic activity and its alignment with global trade networks, the auditor's role transcends mere compliance; it becomes a cornerstone for fostering trust among stakeholders—including investors, regulatory bodies, and local communities.</w:t>
      </w:r>
    </w:p>
    <w:p>
      <w:pPr>
        <w:pStyle w:val="BodyText"/>
      </w:pPr>
      <w:r>
        <w:t xml:space="preserve">Kuwait City, as the capital of Kuwait and a central financial center in the Gulf Cooperation Council (GCC), hosts a diverse array of businesses ranging from multinational corporations to small family-owned enterprises. The auditor's mandate in this environment involves not only evaluating financial statements for accuracy but also assessing internal controls, risk management frameworks, and governance structures. This dual responsibility is particularly significant in Kuwait City due to the nation's reliance on oil revenues and the growing emphasis on economic diversification under Vision 2035. Auditors here must navigate a complex interplay of traditional practices and contemporary financial challenges, ensuring that entities operating in the city align with both Kuwaiti laws—such as those outlined in the Kuwaiti Companies Law (KFL)—and international standards like International Standards on Auditing (ISA) or International Financial Reporting Standards (IFRS).</w:t>
      </w:r>
    </w:p>
    <w:p>
      <w:pPr>
        <w:pStyle w:val="BodyText"/>
      </w:pPr>
      <w:r>
        <w:t xml:space="preserve">The academic importance of this topic lies in its intersection with several disciplines, including accounting, law, economics, and public policy. Auditors in Kuwait City are not merely financial gatekeepers; they are also pivotal in shaping the ethical and legal landscape of business practices. Their work directly influences the credibility of financial reporting systems, which is vital for attracting foreign investment—a key objective for Kuwait's economic development agenda. Furthermore, the auditor’s role extends to public sector entities, where their findings can inform policy decisions and enhance governmental accountability. This is particularly relevant in Kuwait City, where the Supreme Audit Institution (SAI) plays a critical role in auditing federal government projects and ensuring fiscal responsibility.</w:t>
      </w:r>
    </w:p>
    <w:p>
      <w:pPr>
        <w:pStyle w:val="BodyText"/>
      </w:pPr>
      <w:r>
        <w:t xml:space="preserve">Cultural and regulatory factors further complicate the auditor’s responsibilities in Kuwait City. The local business environment is deeply influenced by Islamic financial principles, necessitating auditors to have a nuanced understanding of Sharia-compliant practices. For instance, audits of Islamic banks or financial institutions must align with both conventional auditing standards and the ethical guidelines prescribed by Islamic finance. Additionally, Kuwait’s legal system—a civil law system based on the Napoleonic Code—requires auditors to be well-versed in local statutes while also adhering to international best practices. This duality demands a high level of expertise and adaptability from auditors operating in Kuwait City.</w:t>
      </w:r>
    </w:p>
    <w:p>
      <w:pPr>
        <w:pStyle w:val="BodyText"/>
      </w:pPr>
      <w:r>
        <w:t xml:space="preserve">Challenges faced by auditors in Kuwait City include reconciling the pressures of rapid economic transformation with the need for meticulous adherence to regulatory frameworks. The transition from an oil-dependent economy to one that emphasizes technology, tourism, and financial services necessitates audits that are not only technically rigorous but also forward-looking. Auditors must anticipate risks associated with emerging industries while ensuring compliance with existing laws. Moreover, the increasing prevalence of digital transactions and e-commerce in Kuwait City has introduced new vulnerabilities related to cybersecurity and data integrity, requiring auditors to integrate technological assessments into their evaluations.</w:t>
      </w:r>
    </w:p>
    <w:p>
      <w:pPr>
        <w:pStyle w:val="BodyText"/>
      </w:pPr>
      <w:r>
        <w:t xml:space="preserve">The academic value of this study is underscored by its relevance to both local and international stakeholders. For educators and researchers, it provides a framework for understanding the evolving role of auditors in Gulf states. For policymakers in Kuwait City, it highlights the need for continuous dialogue between regulatory bodies and auditing professionals to address gaps in compliance or enforcement. Furthermore, practitioners—auditors themselves—can derive insights into how to balance local demands with global standards while mitigating risks arising from cultural, legal, and economic complexities.</w:t>
      </w:r>
    </w:p>
    <w:p>
      <w:pPr>
        <w:pStyle w:val="BodyText"/>
      </w:pPr>
      <w:r>
        <w:t xml:space="preserve">In conclusion, the auditor’s role in Kuwait City is a dynamic and multifaceted one that reflects the intersection of tradition and modernity, local governance, and global economic integration. As Kuwait continues to position itself as a regional leader in finance and trade, the auditor’s contribution to maintaining trust in financial systems becomes ever more critical. This abstract academic document underscores the necessity of viewing auditors not merely as compliance officers but as strategic partners in Kuwait’s journey toward sustainable economic growth and resilience.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Auditor in Kuwait Kuwait City</dc:title>
  <dc:creator/>
  <dc:language>en</dc:language>
  <cp:keywords/>
  <dcterms:created xsi:type="dcterms:W3CDTF">2026-07-22T12:08:56Z</dcterms:created>
  <dcterms:modified xsi:type="dcterms:W3CDTF">2026-07-22T12:08:56Z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