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6" w:name="Xd9731da2faad8921108e75226072e04c9a27152"/>
    <w:p>
      <w:pPr>
        <w:pStyle w:val="Heading1"/>
      </w:pPr>
      <w:r>
        <w:t xml:space="preserve">Abstract Academic Document: The Role of Bankers in Colombia Bogotá</w:t>
      </w:r>
    </w:p>
    <w:p>
      <w:pPr>
        <w:pStyle w:val="FirstParagraph"/>
      </w:pPr>
      <w:r>
        <w:rPr>
          <w:bCs/>
          <w:b/>
        </w:rPr>
        <w:t xml:space="preserve">Abstract academic:</w:t>
      </w:r>
      <w:r>
        <w:t xml:space="preserve"> </w:t>
      </w:r>
      <w:r>
        <w:t xml:space="preserve">This document provides an in-depth exploration of the evolving role and significance of bankers within the economic, social, and regulatory landscape of Colombia's capital city, Bogotá. As a major financial hub in Latin America, Bogotá has long been central to Colombia's banking sector, which plays a pivotal role in driving national economic development while navigating local and global challenges. The study examines how bankers in Bogotá have adapted to shifting economic dynamics, technological advancements, regulatory frameworks, and socio-political factors over recent decades. By analyzing the interplay between institutional practices and the unique characteristics of Colombia's financial ecosystem, this abstract highlights the critical contributions of bankers to Bogotá's status as a regional economic leader.</w:t>
      </w:r>
    </w:p>
    <w:bookmarkStart w:id="20" w:name="introduction"/>
    <w:p>
      <w:pPr>
        <w:pStyle w:val="Heading2"/>
      </w:pPr>
      <w:r>
        <w:t xml:space="preserve">Introduction</w:t>
      </w:r>
    </w:p>
    <w:p>
      <w:pPr>
        <w:pStyle w:val="FirstParagraph"/>
      </w:pPr>
      <w:r>
        <w:rPr>
          <w:bCs/>
          <w:b/>
        </w:rPr>
        <w:t xml:space="preserve">Banker</w:t>
      </w:r>
      <w:r>
        <w:t xml:space="preserve"> </w:t>
      </w:r>
      <w:r>
        <w:t xml:space="preserve">is a term that embodies both a profession and a set of responsibilities tied to the management of financial resources, risk mitigation, and the facilitation of economic growth. In Colombia's capital city, Bogotá—home to over 10 million residents and the country’s political, cultural, and economic epicenter—the role of bankers is particularly complex. Bogotá serves as a nexus for national and international financial institutions, including multinational banks such as Banco Santander Colombia, BBVA Colombia, and regional entities like Banco Davivienda. The city's banking sector contributes significantly to Colombia's Gross Domestic Product (GDP), with over 20% of the nation’s banking activities concentrated in Bogotá. This document delves into the multifaceted responsibilities of bankers operating in this dynamic urban environment, emphasizing their influence on both macroeconomic stability and microeconomic opportunities for individuals and businesses.</w:t>
      </w:r>
    </w:p>
    <w:bookmarkEnd w:id="20"/>
    <w:bookmarkStart w:id="21" w:name="X7acfebf31acca786ed56c3be340f484443c1bed"/>
    <w:p>
      <w:pPr>
        <w:pStyle w:val="Heading2"/>
      </w:pPr>
      <w:r>
        <w:t xml:space="preserve">The Economic Role of Bankers in Colombia Bogotá</w:t>
      </w:r>
    </w:p>
    <w:p>
      <w:pPr>
        <w:pStyle w:val="FirstParagraph"/>
      </w:pPr>
      <w:r>
        <w:t xml:space="preserve">Bankers in Bogotá act as intermediaries between savers and borrowers, channeling capital to support entrepreneurship, infrastructure development, and consumer spending. The city's banking sector is a cornerstone of Colombia’s economic structure, providing essential financial services such as loans for small and medium-sized enterprises (SMEs), investment opportunities for high-net-worth individuals, and accessible banking solutions for low-income populations. According to the Superintendencia Financiera de Colombia (SFC), Bogotá accounts for approximately 35% of all retail banking transactions in the country, underscoring its importance as a financial services hub.</w:t>
      </w:r>
    </w:p>
    <w:p>
      <w:pPr>
        <w:pStyle w:val="BodyText"/>
      </w:pPr>
      <w:r>
        <w:t xml:space="preserve">The economic role of bankers in Bogotá is further amplified by their involvement in managing public debt and supporting government fiscal policies. For instance, Banco de la República, Colombia’s central bank headquartered in Bogotá, relies on collaboration with private and public sector bankers to implement monetary policies aimed at controlling inflation and ensuring stable currency circulation. Additionally, the city’s proximity to global trade routes and its role as a regional logistics center make Bogotá a critical node for international banking operations. Bankers here must navigate the complexities of cross-border transactions, foreign exchange risks, and compliance with both Colombian regulations (such as Ley 1314 of 2009) and international standards like Basel III.</w:t>
      </w:r>
    </w:p>
    <w:bookmarkEnd w:id="21"/>
    <w:bookmarkStart w:id="22" w:name="Xa0a663ae0141cbf2ff69fde963bb44acc1e06c5"/>
    <w:p>
      <w:pPr>
        <w:pStyle w:val="Heading2"/>
      </w:pPr>
      <w:r>
        <w:t xml:space="preserve">Challenges Facing Bankers in Colombia Bogotá</w:t>
      </w:r>
    </w:p>
    <w:p>
      <w:pPr>
        <w:pStyle w:val="FirstParagraph"/>
      </w:pPr>
      <w:r>
        <w:t xml:space="preserve">The role of bankers in Bogotá is not without challenges. The city’s financial sector has historically been affected by political instability, corruption scandals, and economic fluctuations tied to global commodity prices. For example, the 2016 peace agreement with the FARC (Revolutionary Armed Forces of Colombia) introduced new risks and opportunities for bankers dealing with rural development projects and conflict-affected regions. Additionally, the ongoing debate over financial inclusion in Colombia has placed pressure on bankers to innovate and expand services to underserved communities in Bogotá’s outskirts, where access to traditional banking infrastructure is limited.</w:t>
      </w:r>
    </w:p>
    <w:p>
      <w:pPr>
        <w:pStyle w:val="BodyText"/>
      </w:pPr>
      <w:r>
        <w:t xml:space="preserve">Another significant challenge is the rise of fintech companies disrupting traditional banking models. Startups like Nequi (owned by Banco Davivienda) and Rappi have introduced mobile-based financial solutions that compete with conventional banks for customer trust and market share. Bankers in Bogotá must now balance innovation with regulatory compliance, ensuring that technological advancements do not compromise data security or consumer protection.</w:t>
      </w:r>
    </w:p>
    <w:bookmarkEnd w:id="22"/>
    <w:bookmarkStart w:id="23" w:name="regulatory-and-ethical-considerations"/>
    <w:p>
      <w:pPr>
        <w:pStyle w:val="Heading2"/>
      </w:pPr>
      <w:r>
        <w:t xml:space="preserve">Regulatory and Ethical Considerations</w:t>
      </w:r>
    </w:p>
    <w:p>
      <w:pPr>
        <w:pStyle w:val="FirstParagraph"/>
      </w:pPr>
      <w:r>
        <w:t xml:space="preserve">The regulatory environment for bankers in Colombia Bogotá is stringent but evolving. The Superintendencia Financiera de Colombia (SFC) imposes strict guidelines to prevent money laundering, fraud, and unethical practices. Bankers must adhere to these regulations while also promoting transparency and accountability within their institutions. For example, the implementation of anti-money laundering (AML) protocols has become a critical focus area for banks operating in Bogotá, given the city’s role as a transit point for illicit financial flows in Latin America.</w:t>
      </w:r>
    </w:p>
    <w:p>
      <w:pPr>
        <w:pStyle w:val="BodyText"/>
      </w:pPr>
      <w:r>
        <w:t xml:space="preserve">Ethically, bankers in Bogotá face dilemmas related to environmental sustainability and corporate social responsibility. With increasing pressure from global investors to align with ESG (Environmental, Social, and Governance) criteria, Colombian banks are being urged to integrate sustainable practices into their operations. This includes financing green infrastructure projects in Bogotá’s rapidly growing urban areas while ensuring that such initiatives do not exacerbate existing inequalities in access to financial resources.</w:t>
      </w:r>
    </w:p>
    <w:bookmarkEnd w:id="23"/>
    <w:bookmarkStart w:id="24" w:name="X097aa806cbcb87579067f6dd583e93dd359efff"/>
    <w:p>
      <w:pPr>
        <w:pStyle w:val="Heading2"/>
      </w:pPr>
      <w:r>
        <w:t xml:space="preserve">Technological Innovation and the Future of Banking in Bogotá</w:t>
      </w:r>
    </w:p>
    <w:p>
      <w:pPr>
        <w:pStyle w:val="FirstParagraph"/>
      </w:pPr>
      <w:r>
        <w:t xml:space="preserve">As one of Latin America’s most technologically advanced cities, Bogotá has become a testing ground for cutting-edge banking innovations. Bankers here are at the forefront of adopting artificial intelligence (AI), blockchain technology, and digital payment systems to enhance efficiency and customer experience. For instance, AI-driven credit scoring models are now being used in Bogotá to assess loan applications with greater accuracy, reducing the risk of default while expanding access to credit for marginalized populations.</w:t>
      </w:r>
    </w:p>
    <w:p>
      <w:pPr>
        <w:pStyle w:val="BodyText"/>
      </w:pPr>
      <w:r>
        <w:t xml:space="preserve">Moreover, the rise of decentralized finance (DeFi) platforms has prompted bankers in Bogotá to explore hybrid models that combine traditional banking with blockchain-based services. However, this shift raises questions about how regulators can ensure consumer protection without stifling innovation. Bankers must therefore strike a delicate balance between embracing new technologies and maintaining the trust of customers and stakeholders.</w:t>
      </w:r>
    </w:p>
    <w:bookmarkEnd w:id="24"/>
    <w:bookmarkStart w:id="25" w:name="conclusion"/>
    <w:p>
      <w:pPr>
        <w:pStyle w:val="Heading2"/>
      </w:pPr>
      <w:r>
        <w:t xml:space="preserve">Conclusion</w:t>
      </w:r>
    </w:p>
    <w:p>
      <w:pPr>
        <w:pStyle w:val="FirstParagraph"/>
      </w:pPr>
      <w:r>
        <w:rPr>
          <w:bCs/>
          <w:b/>
        </w:rPr>
        <w:t xml:space="preserve">Banker</w:t>
      </w:r>
      <w:r>
        <w:t xml:space="preserve"> </w:t>
      </w:r>
      <w:r>
        <w:t xml:space="preserve">in Colombia’s Bogotá is more than a profession—it is a cornerstone of the city’s economic identity and national development. From managing macroeconomic stability to fostering financial inclusion, bankers in this vibrant capital have demonstrated resilience and adaptability in the face of complex challenges. As Bogotá continues to grow as a global financial center, the role of bankers will remain central to shaping its future. This document underscores the need for continued academic research into how bankers can leverage their expertise to address emerging trends such as fintech disruption, sustainability imperatives, and geopolitical uncertainties while upholding the principles of ethical banking in Colombia Bogotá.</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Bankers in Colombia Bogotá</dc:title>
  <dc:creator/>
  <dc:language>en</dc:language>
  <cp:keywords/>
  <dcterms:created xsi:type="dcterms:W3CDTF">2026-07-23T15:02:33Z</dcterms:created>
  <dcterms:modified xsi:type="dcterms:W3CDTF">2026-07-23T15:02:33Z</dcterms:modified>
</cp:coreProperties>
</file>

<file path=docProps/custom.xml><?xml version="1.0" encoding="utf-8"?>
<Properties xmlns="http://schemas.openxmlformats.org/officeDocument/2006/custom-properties" xmlns:vt="http://schemas.openxmlformats.org/officeDocument/2006/docPropsVTypes"/>
</file>