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d2fa6250b1d52dfbdb4b2dd930825dcb4f623d6"/>
    <w:p>
      <w:pPr>
        <w:pStyle w:val="Heading1"/>
      </w:pPr>
      <w:r>
        <w:t xml:space="preserve">Abstract Academic Document: The Role of Bankers in Turkey Istanbul</w:t>
      </w:r>
    </w:p>
    <w:p>
      <w:pPr>
        <w:pStyle w:val="FirstParagraph"/>
      </w:pPr>
      <w:r>
        <w:rPr>
          <w:bCs/>
          <w:b/>
        </w:rPr>
        <w:t xml:space="preserve">Abstract:</w:t>
      </w:r>
    </w:p>
    <w:p>
      <w:pPr>
        <w:pStyle w:val="BodyText"/>
      </w:pPr>
      <w:r>
        <w:t xml:space="preserve">This academic abstract explores the multifaceted role of bankers within the financial ecosystem of Istanbul, Turkey. As a global hub for trade, culture, and finance, Istanbul has long positioned itself as a critical player in regional and international banking. The evolution of the banker’s profession in this context is shaped by unique economic dynamics, regulatory frameworks, cultural norms, and geopolitical influences. This document analyzes how bankers in Istanbul navigate challenges such as currency fluctuations, inflationary pressures from global markets, and the demands of a rapidly digitalizing financial sector while contributing to Turkey’s economic stability and growth. It further examines the interplay between traditional banking practices and emerging technologies in Istanbul’s financial landscape, emphasizing the adaptability required of modern bankers. The study underscores the significance of legal compliance, ethical standards, and professional training in ensuring that bankers uphold their roles as stewards of capital in a complex environment. By integrating insights from economic theory, case studies from Turkish banks operating in Istanbul, and comparative analyses with other global financial centers, this abstract highlights the indispensable role of bankers in fostering sustainable development within Turkey’s largest metropolitan area.</w:t>
      </w:r>
    </w:p>
    <w:bookmarkStart w:id="20" w:name="Xf468c49575fd085fd14a2bacb1d747cee94c6df"/>
    <w:p>
      <w:pPr>
        <w:pStyle w:val="Heading2"/>
      </w:pPr>
      <w:r>
        <w:t xml:space="preserve">1. Introduction: The Strategic Position of Istanbul</w:t>
      </w:r>
    </w:p>
    <w:p>
      <w:pPr>
        <w:pStyle w:val="FirstParagraph"/>
      </w:pPr>
      <w:r>
        <w:t xml:space="preserve">Istanbul’s status as a bridge between Europe and Asia has historically made it a focal point for banking activities. As Turkey’s economic and financial capital, Istanbul hosts the headquarters of major national banks, multinational financial institutions, and fintech startups. Bankers operating in this city are not only responsible for managing domestic transactions but also serve as intermediaries in cross-border trade between Turkey and its neighbors in the Middle East, Eastern Europe, and Central Asia. This dual role requires bankers to possess a nuanced understanding of both local and global economic trends.</w:t>
      </w:r>
    </w:p>
    <w:bookmarkEnd w:id="20"/>
    <w:bookmarkStart w:id="21" w:name="X3c6ee8f84687ccc5e76b930346433c07ce98a1b"/>
    <w:p>
      <w:pPr>
        <w:pStyle w:val="Heading2"/>
      </w:pPr>
      <w:r>
        <w:t xml:space="preserve">2. Economic Challenges Facing Bankers in Istanbul</w:t>
      </w:r>
    </w:p>
    <w:p>
      <w:pPr>
        <w:pStyle w:val="FirstParagraph"/>
      </w:pPr>
      <w:r>
        <w:t xml:space="preserve">The Turkish economy has experienced significant volatility in recent years, marked by inflationary pressures, currency depreciation (notably the lira), and external trade imbalances. Bankers in Istanbul must navigate these challenges while maintaining trust with clients and adhering to Central Bank of the Republic of Turkey (CBRT) regulations. For instance, fluctuating interest rates directly impact lending practices and investment strategies, requiring bankers to balance risk management with profit generation. Additionally, geopolitical tensions between Turkey and Western allies have influenced capital flows into the country, further complicating the work of financial professionals in Istanbul.</w:t>
      </w:r>
    </w:p>
    <w:bookmarkEnd w:id="21"/>
    <w:bookmarkStart w:id="22" w:name="X1fd711f8e2c95c98c6c7a94065de315149de26c"/>
    <w:p>
      <w:pPr>
        <w:pStyle w:val="Heading2"/>
      </w:pPr>
      <w:r>
        <w:t xml:space="preserve">3. Regulatory Environment and Legal Compliance</w:t>
      </w:r>
    </w:p>
    <w:p>
      <w:pPr>
        <w:pStyle w:val="FirstParagraph"/>
      </w:pPr>
      <w:r>
        <w:t xml:space="preserve">The legal framework governing banking in Turkey is designed to ensure stability while promoting innovation. Bankers in Istanbul must comply with stringent regulations enforced by the CBRT, including capital adequacy requirements, anti-money laundering (AML) protocols, and consumer protection laws. The 2018 Banking Law amendments, for example, introduced stricter oversight of digital transactions and fintech companies operating within the sector. These legal changes highlight the need for bankers to stay updated on evolving compliance standards to avoid penalties and maintain institutional credibility.</w:t>
      </w:r>
    </w:p>
    <w:bookmarkEnd w:id="22"/>
    <w:bookmarkStart w:id="23" w:name="X97b36d3e3a8065c0d0a7d2fa1fdff84a0ce515d"/>
    <w:p>
      <w:pPr>
        <w:pStyle w:val="Heading2"/>
      </w:pPr>
      <w:r>
        <w:t xml:space="preserve">4. Technological Advancements in Istanbul’s Banking Sector</w:t>
      </w:r>
    </w:p>
    <w:p>
      <w:pPr>
        <w:pStyle w:val="FirstParagraph"/>
      </w:pPr>
      <w:r>
        <w:t xml:space="preserve">Istanbul has become a testing ground for financial technology (fintech) innovations, driven by both government support and private-sector investment. Bankers here are increasingly adopting digital tools such as blockchain, artificial intelligence (AI), and mobile banking platforms to enhance customer service and operational efficiency. However, this shift also raises concerns about data security, cybersecurity threats, and the need for upskilling within the workforce. The rise of neobanks—digital-only financial institutions—has further intensified competition among traditional banks in Istanbul.</w:t>
      </w:r>
    </w:p>
    <w:bookmarkEnd w:id="23"/>
    <w:bookmarkStart w:id="24" w:name="X6d1674486cf5410007fe780d45086976a4c393e"/>
    <w:p>
      <w:pPr>
        <w:pStyle w:val="Heading2"/>
      </w:pPr>
      <w:r>
        <w:t xml:space="preserve">5. Cultural Dynamics and Professional Ethics</w:t>
      </w:r>
    </w:p>
    <w:p>
      <w:pPr>
        <w:pStyle w:val="FirstParagraph"/>
      </w:pPr>
      <w:r>
        <w:t xml:space="preserve">Cultural factors play a pivotal role in shaping banking practices in Istanbul. Personal relationships, trust, and negotiation skills are often prioritized over formal contractual agreements, reflecting the broader social norms of Turkish business culture. Bankers must navigate these dynamics while adhering to international ethical standards. Additionally, the profession faces challenges related to transparency and corruption, particularly in sectors where informal lending practices persist despite legal prohibitions.</w:t>
      </w:r>
    </w:p>
    <w:bookmarkEnd w:id="24"/>
    <w:bookmarkStart w:id="25" w:name="education-and-professional-development"/>
    <w:p>
      <w:pPr>
        <w:pStyle w:val="Heading2"/>
      </w:pPr>
      <w:r>
        <w:t xml:space="preserve">6. Education and Professional Development</w:t>
      </w:r>
    </w:p>
    <w:p>
      <w:pPr>
        <w:pStyle w:val="FirstParagraph"/>
      </w:pPr>
      <w:r>
        <w:t xml:space="preserve">To thrive in Istanbul’s competitive banking environment, professionals require specialized education and continuous learning. Institutions such as Boğaziçi University, Istanbul Technical University, and the Turkish Economic and Social Studies Foundation (TESEV) offer programs focused on finance, economics, and banking law. Certifications from international bodies like the Chartered Institute of Bankers (CIB) or the Financial Services Regulatory Authority (FSRA) are increasingly valued by employers. Furthermore, participation in industry forums and cross-border training programs helps bankers in Istanbul stay aligned with global best practices.</w:t>
      </w:r>
    </w:p>
    <w:bookmarkEnd w:id="25"/>
    <w:bookmarkStart w:id="26" w:name="opportunities-for-growth-and-innovation"/>
    <w:p>
      <w:pPr>
        <w:pStyle w:val="Heading2"/>
      </w:pPr>
      <w:r>
        <w:t xml:space="preserve">7. Opportunities for Growth and Innovation</w:t>
      </w:r>
    </w:p>
    <w:p>
      <w:pPr>
        <w:pStyle w:val="FirstParagraph"/>
      </w:pPr>
      <w:r>
        <w:t xml:space="preserve">Despite its challenges, Istanbul presents vast opportunities for bankers seeking to drive innovation and expansion. The city’s strategic location allows it to act as a gateway for emerging markets, particularly in Central Asia and the Balkans. Bankers can leverage this position to develop tailored financial products for cross-border trade and investment. Additionally, Turkey’s growing youth population and rising middle class create demand for accessible banking services, fostering new avenues for growth in sectors like microfinance and digital payments.</w:t>
      </w:r>
    </w:p>
    <w:bookmarkEnd w:id="26"/>
    <w:bookmarkStart w:id="27" w:name="Xd41ea5a9833e314832269b6dea23c4db6d738bd"/>
    <w:p>
      <w:pPr>
        <w:pStyle w:val="Heading2"/>
      </w:pPr>
      <w:r>
        <w:t xml:space="preserve">8. Conclusion: The Future of Banking in Istanbul</w:t>
      </w:r>
    </w:p>
    <w:p>
      <w:pPr>
        <w:pStyle w:val="FirstParagraph"/>
      </w:pPr>
      <w:r>
        <w:t xml:space="preserve">In conclusion, bankers operating in Istanbul play a vital role in shaping Turkey’s financial future. Their ability to adapt to economic uncertainties, regulatory changes, and technological disruptions will determine the resilience of the banking sector in the region. By fostering collaboration between public institutions, private enterprises, and educational bodies, Istanbul can continue to solidify its position as a dynamic financial center. This abstract underscores the necessity of viewing bankers not merely as financial intermediaries but as key architects of economic development in Turkey’s capital city.</w:t>
      </w:r>
    </w:p>
    <w:p>
      <w:pPr>
        <w:pStyle w:val="BodyText"/>
      </w:pPr>
      <w:r>
        <w:rPr>
          <w:iCs/>
          <w:i/>
        </w:rPr>
        <w:t xml:space="preserve">Keywords: Abstract academic; Banker;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Turkey Istanbul</dc:title>
  <dc:creator/>
  <dc:language>en</dc:language>
  <cp:keywords/>
  <dcterms:created xsi:type="dcterms:W3CDTF">2026-07-21T16:29:34Z</dcterms:created>
  <dcterms:modified xsi:type="dcterms:W3CDTF">2026-07-21T16:29:34Z</dcterms:modified>
</cp:coreProperties>
</file>

<file path=docProps/custom.xml><?xml version="1.0" encoding="utf-8"?>
<Properties xmlns="http://schemas.openxmlformats.org/officeDocument/2006/custom-properties" xmlns:vt="http://schemas.openxmlformats.org/officeDocument/2006/docPropsVTypes"/>
</file>