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Diplomat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0" w:name="X0c655ce311951a1253a21741698a81053fc0878"/>
    <w:p>
      <w:pPr>
        <w:pStyle w:val="Heading1"/>
      </w:pPr>
      <w:r>
        <w:t xml:space="preserve">Abstract Academic Document: The Role and Significance of the Diplomat in Germany, Frankfurt</w:t>
      </w:r>
    </w:p>
    <w:p>
      <w:pPr>
        <w:pStyle w:val="FirstParagraph"/>
      </w:pPr>
      <w:r>
        <w:rPr>
          <w:bCs/>
          <w:b/>
        </w:rPr>
        <w:t xml:space="preserve">Abstract:</w:t>
      </w:r>
    </w:p>
    <w:p>
      <w:pPr>
        <w:pStyle w:val="BodyText"/>
      </w:pPr>
      <w:r>
        <w:t xml:space="preserve">The role of a diplomat in contemporary international relations has evolved significantly, particularly within dynamic economic and political hubs such as Germany’s Frankfurt. This academic abstract explores the multifaceted responsibilities, challenges, and contributions of a diplomat operating in Frankfurt, emphasizing its unique position as a global crossroads of commerce, culture, and diplomacy. The study situates itself within the broader context of Germany’s strategic importance in European Union (EU) affairs and its role as a leader in global governance. By analyzing the specific demands placed on diplomats stationed in Frankfurt—a city renowned for its financial institutions, international organizations, and cultural diversity—the document underscores how the interplay between national interests and transnational cooperation shapes diplomatic practices.</w:t>
      </w:r>
    </w:p>
    <w:p>
      <w:pPr>
        <w:pStyle w:val="BodyText"/>
      </w:pPr>
      <w:r>
        <w:t xml:space="preserve">Frankfurt’s significance as a diplomatic hub is rooted in its status as Germany’s financial capital, hosting institutions such as the European Central Bank (ECB), the European Investment Bank (EIB), and numerous multinational corporations. This concentration of economic power necessitates robust diplomatic engagement to balance national priorities with transnational economic interests. A diplomat stationed in Frankfurt must navigate complex negotiations involving EU policy-making, trade agreements, and geopolitical tensions while fostering relationships with stakeholders from diverse cultural and political backgrounds. The abstract argues that the diplomat’s role in this context is not merely administrative but deeply intertwined with the city’s identity as a bridge between Europe and the global economy.</w:t>
      </w:r>
    </w:p>
    <w:p>
      <w:pPr>
        <w:pStyle w:val="BodyText"/>
      </w:pPr>
      <w:r>
        <w:t xml:space="preserve">The academic analysis begins by examining the historical evolution of Frankfurt as a diplomatic center, tracing its transformation from a medieval trading town to a modern metropolis. This historical lens provides critical insights into how the city’s infrastructure, governance, and cultural ethos have shaped its diplomatic landscape. The study then delves into the competencies required of diplomats in Frankfurt, including multilingual proficiency (particularly in English and German), expertise in EU law, and an understanding of global economic trends. It highlights the importance of intercultural communication skills for fostering dialogue among stakeholders from Europe, Asia, and North America.</w:t>
      </w:r>
    </w:p>
    <w:p>
      <w:pPr>
        <w:pStyle w:val="BodyText"/>
      </w:pPr>
      <w:r>
        <w:t xml:space="preserve">A key focus of the document is the diplomat’s role in addressing contemporary challenges such as climate change policy coordination within the EU, managing migration flows through Germany’s federal structure, and ensuring compliance with international trade regulations. The abstract emphasizes that diplomats in Frankfurt must act as mediators between national governments and supranational entities like the European Commission (EC) or NATO. For instance, Germany’s leadership in climate initiatives necessitates diplomatic efforts to harmonize national policies with EU-wide targets while addressing the concerns of industrial sectors reliant on fossil fuels.</w:t>
      </w:r>
    </w:p>
    <w:p>
      <w:pPr>
        <w:pStyle w:val="BodyText"/>
      </w:pPr>
      <w:r>
        <w:t xml:space="preserve">The study further explores how Frankfurt’s unique cultural environment influences diplomatic practices. The city’s cosmopolitan atmosphere, shaped by its large international community and vibrant cultural institutions, requires diplomats to adopt a nuanced approach to public diplomacy. This includes leveraging events such as the Frankfurt Book Fair or the annual Global Financial Summit to promote Germany’s foreign policy goals while fostering goodwill among international partners. The abstract also highlights the role of soft power in Frankfurt’s diplomatic strategy, citing examples of cultural exchanges and academic collaborations between German and foreign institutions.</w:t>
      </w:r>
    </w:p>
    <w:p>
      <w:pPr>
        <w:pStyle w:val="BodyText"/>
      </w:pPr>
      <w:r>
        <w:t xml:space="preserve">Methodologically, this academic document draws on case studies of high-profile diplomatic negotiations involving Frankfurt-based stakeholders. These include analyses of Germany’s response to the 2015 European migrant crisis, its role in the Brexit negotiations, and its efforts to mediate trade disputes between EU member states and non-EU countries. The study employs qualitative research methods, including interviews with diplomats stationed in Frankfurt and a review of official policy documents from the German Foreign Office (AA) and relevant international organizations.</w:t>
      </w:r>
    </w:p>
    <w:p>
      <w:pPr>
        <w:pStyle w:val="BodyText"/>
      </w:pPr>
      <w:r>
        <w:t xml:space="preserve">The findings reveal that diplomats in Frankfurt must balance competing priorities: advocating for Germany’s national interests while upholding EU solidarity, managing economic partnerships with emerging markets, and addressing domestic public opinion on foreign policy. The abstract argues that the diplomat’s success in this environment hinges on adaptability, strategic foresight, and a deep understanding of both local and global dynamics. Furthermore, it underscores the importance of digital diplomacy in Frankfurt’s modern context, where online platforms are used to engage with stakeholders ranging from corporate leaders to grassroots organizations.</w:t>
      </w:r>
    </w:p>
    <w:p>
      <w:pPr>
        <w:pStyle w:val="BodyText"/>
      </w:pPr>
      <w:r>
        <w:t xml:space="preserve">Conclusion: This academic abstract illustrates the critical role of the diplomat in Germany’s Frankfurt as a nexus for international cooperation and conflict resolution. By examining the city’s unique socio-economic and political landscape, the document provides a comprehensive framework for understanding how diplomats navigate complex challenges in this global hub. It calls for further research into emerging trends such as artificial intelligence’s impact on diplomatic communication or the role of regional diplomacy in addressing post-pandemic economic recovery efforts. Ultimately, the study affirms that Frankfurt remains a pivotal site for shaping Germany’s foreign policy and advancing collective global interests through skilled and strategic diplomatic engagement.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Diplomat in Germany Frankfurt</dc:title>
  <dc:creator/>
  <dc:language>en</dc:language>
  <cp:keywords/>
  <dcterms:created xsi:type="dcterms:W3CDTF">2026-07-21T10:39:54Z</dcterms:created>
  <dcterms:modified xsi:type="dcterms:W3CDTF">2026-07-21T10:39:54Z</dcterms:modified>
</cp:coreProperties>
</file>

<file path=docProps/custom.xml><?xml version="1.0" encoding="utf-8"?>
<Properties xmlns="http://schemas.openxmlformats.org/officeDocument/2006/custom-properties" xmlns:vt="http://schemas.openxmlformats.org/officeDocument/2006/docPropsVTypes"/>
</file>