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b6c581faeccec3c10366384cf8fa3b949051709"/>
    <w:p>
      <w:pPr>
        <w:pStyle w:val="Heading1"/>
      </w:pPr>
      <w:r>
        <w:t xml:space="preserve">Abstract Academic Document: Editor for Academic Use in Turkey, Istanbul</w:t>
      </w:r>
    </w:p>
    <w:p>
      <w:pPr>
        <w:pStyle w:val="FirstParagraph"/>
      </w:pPr>
      <w:r>
        <w:t xml:space="preserve">The role of an editor in academic research is indispensable, serving as a critical tool for scholars, researchers, and students to produce high-quality manuscripts that meet the rigorous standards of peer-reviewed journals and academic institutions. In the context of</w:t>
      </w:r>
      <w:r>
        <w:t xml:space="preserve"> </w:t>
      </w:r>
      <w:r>
        <w:rPr>
          <w:bCs/>
          <w:b/>
        </w:rPr>
        <w:t xml:space="preserve">Turkey Istanbul</w:t>
      </w:r>
      <w:r>
        <w:t xml:space="preserve">, where academia is deeply intertwined with cultural heritage and modern technological advancements, the development and utilization of a specialized editor tailored to regional needs hold immense significance. This abstract explores the conceptual framework, functional requirements, and potential applications of such an editor within</w:t>
      </w:r>
      <w:r>
        <w:t xml:space="preserve"> </w:t>
      </w:r>
      <w:r>
        <w:rPr>
          <w:bCs/>
          <w:b/>
        </w:rPr>
        <w:t xml:space="preserve">Turkey Istanbul</w:t>
      </w:r>
      <w:r>
        <w:t xml:space="preserve">’s academic ecosystem.</w:t>
      </w:r>
    </w:p>
    <w:bookmarkStart w:id="20" w:name="Xa5cbddbc8eb02ee09047f0565d714518f02f8fb"/>
    <w:p>
      <w:pPr>
        <w:pStyle w:val="Heading2"/>
      </w:pPr>
      <w:r>
        <w:t xml:space="preserve">The Importance of Editors in Academic Research</w:t>
      </w:r>
    </w:p>
    <w:p>
      <w:pPr>
        <w:pStyle w:val="FirstParagraph"/>
      </w:pPr>
      <w:r>
        <w:t xml:space="preserve">An</w:t>
      </w:r>
      <w:r>
        <w:t xml:space="preserve"> </w:t>
      </w:r>
      <w:r>
        <w:rPr>
          <w:bCs/>
          <w:b/>
        </w:rPr>
        <w:t xml:space="preserve">Editor</w:t>
      </w:r>
      <w:r>
        <w:t xml:space="preserve">, particularly in the context of academic writing, is not merely a software tool but a multifaceted platform that integrates text editing, citation management, formatting compliance, and collaborative features. In</w:t>
      </w:r>
      <w:r>
        <w:t xml:space="preserve"> </w:t>
      </w:r>
      <w:r>
        <w:rPr>
          <w:bCs/>
          <w:b/>
        </w:rPr>
        <w:t xml:space="preserve">Turkey Istanbul</w:t>
      </w:r>
      <w:r>
        <w:t xml:space="preserve">, where universities like Istanbul University, Bilkent University, and Galatasaray University are hubs for research across disciplines ranging from engineering to social sciences, the need for an editor that aligns with local academic standards is paramount. The challenges of adhering to international formatting guidelines (e.g., APA, MLA) while respecting regional citation practices necessitate a localized solution. Furthermore, given</w:t>
      </w:r>
      <w:r>
        <w:t xml:space="preserve"> </w:t>
      </w:r>
      <w:r>
        <w:rPr>
          <w:bCs/>
          <w:b/>
        </w:rPr>
        <w:t xml:space="preserve">Turkey Istanbul</w:t>
      </w:r>
      <w:r>
        <w:t xml:space="preserve">’s position as a cultural and intellectual crossroads, the editor must support multilingual functionality—particularly Turkish and English—to cater to both local and global academic communities.</w:t>
      </w:r>
    </w:p>
    <w:bookmarkEnd w:id="20"/>
    <w:bookmarkStart w:id="21" w:name="Xffd8aa44d8a5333a72c827cbf5c9234edd2049b"/>
    <w:p>
      <w:pPr>
        <w:pStyle w:val="Heading2"/>
      </w:pPr>
      <w:r>
        <w:t xml:space="preserve">Functional Requirements for an Istanbul-Specific Editor</w:t>
      </w:r>
    </w:p>
    <w:p>
      <w:pPr>
        <w:pStyle w:val="FirstParagraph"/>
      </w:pPr>
      <w:r>
        <w:t xml:space="preserve">A specialized editor for</w:t>
      </w:r>
      <w:r>
        <w:t xml:space="preserve"> </w:t>
      </w:r>
      <w:r>
        <w:rPr>
          <w:bCs/>
          <w:b/>
        </w:rPr>
        <w:t xml:space="preserve">Turkey Istanbul</w:t>
      </w:r>
      <w:r>
        <w:t xml:space="preserve"> </w:t>
      </w:r>
      <w:r>
        <w:t xml:space="preserve">must address unique demands arising from the region’s academic landscape. Key functional requirements include:</w:t>
      </w:r>
    </w:p>
    <w:p>
      <w:pPr>
        <w:numPr>
          <w:ilvl w:val="0"/>
          <w:numId w:val="1001"/>
        </w:numPr>
        <w:pStyle w:val="Compact"/>
      </w:pPr>
      <w:r>
        <w:rPr>
          <w:bCs/>
          <w:b/>
        </w:rPr>
        <w:t xml:space="preserve">Multilingual Support:</w:t>
      </w:r>
      <w:r>
        <w:t xml:space="preserve"> </w:t>
      </w:r>
      <w:r>
        <w:t xml:space="preserve">Seamless integration of Turkish and English languages, including bidirectional text formatting, dictionary tools, and grammar checks tailored to both linguistic standards.</w:t>
      </w:r>
    </w:p>
    <w:p>
      <w:pPr>
        <w:numPr>
          <w:ilvl w:val="0"/>
          <w:numId w:val="1001"/>
        </w:numPr>
        <w:pStyle w:val="Compact"/>
      </w:pPr>
      <w:r>
        <w:rPr>
          <w:bCs/>
          <w:b/>
        </w:rPr>
        <w:t xml:space="preserve">Regional Citation Integration:</w:t>
      </w:r>
      <w:r>
        <w:t xml:space="preserve"> </w:t>
      </w:r>
      <w:r>
        <w:t xml:space="preserve">Built-in compliance with citation styles used in Turkish academic institutions (e.g., TÜBİTAK guidelines) while also supporting global formats like IEEE or Chicago.</w:t>
      </w:r>
    </w:p>
    <w:p>
      <w:pPr>
        <w:numPr>
          <w:ilvl w:val="0"/>
          <w:numId w:val="1001"/>
        </w:numPr>
        <w:pStyle w:val="Compact"/>
      </w:pPr>
      <w:r>
        <w:rPr>
          <w:bCs/>
          <w:b/>
        </w:rPr>
        <w:t xml:space="preserve">Local Database Access:</w:t>
      </w:r>
      <w:r>
        <w:t xml:space="preserve"> </w:t>
      </w:r>
      <w:r>
        <w:t xml:space="preserve">Direct connectivity to national and institutional repositories, such as the Turkish Citation Index (TR Index) or Istanbul-based libraries, for efficient reference management.</w:t>
      </w:r>
    </w:p>
    <w:p>
      <w:pPr>
        <w:numPr>
          <w:ilvl w:val="0"/>
          <w:numId w:val="1001"/>
        </w:numPr>
        <w:pStyle w:val="Compact"/>
      </w:pPr>
      <w:r>
        <w:rPr>
          <w:bCs/>
          <w:b/>
        </w:rPr>
        <w:t xml:space="preserve">User-Friendly Interface:</w:t>
      </w:r>
      <w:r>
        <w:t xml:space="preserve"> </w:t>
      </w:r>
      <w:r>
        <w:t xml:space="preserve">A design optimized for both novice and advanced users, with intuitive navigation that aligns with the ergonomic preferences of</w:t>
      </w:r>
      <w:r>
        <w:t xml:space="preserve"> </w:t>
      </w:r>
      <w:r>
        <w:rPr>
          <w:bCs/>
          <w:b/>
        </w:rPr>
        <w:t xml:space="preserve">Turkey Istanbul</w:t>
      </w:r>
      <w:r>
        <w:t xml:space="preserve">’s diverse academic population.</w:t>
      </w:r>
    </w:p>
    <w:p>
      <w:pPr>
        <w:numPr>
          <w:ilvl w:val="0"/>
          <w:numId w:val="1001"/>
        </w:numPr>
        <w:pStyle w:val="Compact"/>
      </w:pPr>
      <w:r>
        <w:rPr>
          <w:bCs/>
          <w:b/>
        </w:rPr>
        <w:t xml:space="preserve">Collaborative Features:</w:t>
      </w:r>
      <w:r>
        <w:t xml:space="preserve"> </w:t>
      </w:r>
      <w:r>
        <w:t xml:space="preserve">Real-time collaboration tools to facilitate teamwork among researchers in Istanbul’s interconnected academic networks, such as those between universities and research institutes.</w:t>
      </w:r>
    </w:p>
    <w:p>
      <w:pPr>
        <w:pStyle w:val="FirstParagraph"/>
      </w:pPr>
      <w:r>
        <w:t xml:space="preserve">The editor must also incorporate AI-driven tools for plagiarism detection, language translation, and automated formatting. These features are especially critical in</w:t>
      </w:r>
      <w:r>
        <w:t xml:space="preserve"> </w:t>
      </w:r>
      <w:r>
        <w:rPr>
          <w:bCs/>
          <w:b/>
        </w:rPr>
        <w:t xml:space="preserve">Turkey Istanbul</w:t>
      </w:r>
      <w:r>
        <w:t xml:space="preserve">, where the volume of academic output is rising rapidly, and researchers require efficient mechanisms to meet publication deadlines without compromising quality.</w:t>
      </w:r>
    </w:p>
    <w:bookmarkEnd w:id="21"/>
    <w:bookmarkStart w:id="22" w:name="X0b6b58e5e8655e562bd2f12809d33dbcfb68057"/>
    <w:p>
      <w:pPr>
        <w:pStyle w:val="Heading2"/>
      </w:pPr>
      <w:r>
        <w:t xml:space="preserve">Academic Challenges Addressed by the Editor</w:t>
      </w:r>
    </w:p>
    <w:p>
      <w:pPr>
        <w:pStyle w:val="FirstParagraph"/>
      </w:pPr>
      <w:r>
        <w:t xml:space="preserve">Academia in</w:t>
      </w:r>
      <w:r>
        <w:t xml:space="preserve"> </w:t>
      </w:r>
      <w:r>
        <w:rPr>
          <w:bCs/>
          <w:b/>
        </w:rPr>
        <w:t xml:space="preserve">Turkey Istanbul</w:t>
      </w:r>
      <w:r>
        <w:t xml:space="preserve"> </w:t>
      </w:r>
      <w:r>
        <w:t xml:space="preserve">faces unique challenges that a specialized editor can mitigate. For instance, the reliance on foreign software platforms like Microsoft Word or LaTeX often creates compatibility issues with local citation databases and formatting requirements. A tailored editor would bridge this gap by streamlining workflows for scholars working on projects funded by entities such as the Scientific and Technological Research Council of Turkey (TÜBİTAK) or Istanbul-based foundations.</w:t>
      </w:r>
    </w:p>
    <w:p>
      <w:pPr>
        <w:pStyle w:val="BodyText"/>
      </w:pPr>
      <w:r>
        <w:t xml:space="preserve">Additionally, the editor could address language barriers faced by non-native English speakers in</w:t>
      </w:r>
      <w:r>
        <w:t xml:space="preserve"> </w:t>
      </w:r>
      <w:r>
        <w:rPr>
          <w:bCs/>
          <w:b/>
        </w:rPr>
        <w:t xml:space="preserve">Turkey Istanbul</w:t>
      </w:r>
      <w:r>
        <w:t xml:space="preserve">. By offering advanced grammar correction, translation suggestions, and style guides specific to academic writing in Turkish and international journals, the tool would empower researchers to produce manuscripts that meet global standards. This is particularly vital for scholars aiming to publish in international journals while contributing to Turkey’s growing academic reputation.</w:t>
      </w:r>
    </w:p>
    <w:bookmarkEnd w:id="22"/>
    <w:bookmarkStart w:id="23" w:name="cultural-and-institutional-context"/>
    <w:p>
      <w:pPr>
        <w:pStyle w:val="Heading2"/>
      </w:pPr>
      <w:r>
        <w:t xml:space="preserve">Cultural and Institutional Context</w:t>
      </w:r>
    </w:p>
    <w:p>
      <w:pPr>
        <w:pStyle w:val="FirstParagraph"/>
      </w:pPr>
      <w:r>
        <w:t xml:space="preserve">The development of such an editor must align with</w:t>
      </w:r>
      <w:r>
        <w:t xml:space="preserve"> </w:t>
      </w:r>
      <w:r>
        <w:rPr>
          <w:bCs/>
          <w:b/>
        </w:rPr>
        <w:t xml:space="preserve">Turkey Istanbul</w:t>
      </w:r>
      <w:r>
        <w:t xml:space="preserve">’s cultural and institutional priorities. For example, the Ministry of National Education in Turkey has emphasized the need for digital transformation in education, a directive that could be harnessed to integrate this editor into university curricula. Furthermore, partnerships between software developers and Istanbul-based academic institutions—such as collaborations with the Istanbul Technical University or Sabancı University—could ensure that the editor’s features are continuously refined to meet evolving needs.</w:t>
      </w:r>
    </w:p>
    <w:p>
      <w:pPr>
        <w:pStyle w:val="BodyText"/>
      </w:pPr>
      <w:r>
        <w:t xml:space="preserve">Culturally, the editor must respect Turkey’s historical emphasis on intellectual independence while fostering innovation through technology. By embedding features that encourage original research and ethical academic practices (e.g., plagiarism detection), the tool would align with both national values and global academic integrity standards.</w:t>
      </w:r>
    </w:p>
    <w:bookmarkEnd w:id="23"/>
    <w:bookmarkStart w:id="24" w:name="case-studies-and-potential-applications"/>
    <w:p>
      <w:pPr>
        <w:pStyle w:val="Heading2"/>
      </w:pPr>
      <w:r>
        <w:t xml:space="preserve">Case Studies and Potential Applications</w:t>
      </w:r>
    </w:p>
    <w:p>
      <w:pPr>
        <w:pStyle w:val="FirstParagraph"/>
      </w:pPr>
      <w:r>
        <w:t xml:space="preserve">Pilot implementations of such an editor in</w:t>
      </w:r>
      <w:r>
        <w:t xml:space="preserve"> </w:t>
      </w:r>
      <w:r>
        <w:rPr>
          <w:bCs/>
          <w:b/>
        </w:rPr>
        <w:t xml:space="preserve">Turkey Istanbul</w:t>
      </w:r>
      <w:r>
        <w:t xml:space="preserve"> </w:t>
      </w:r>
      <w:r>
        <w:t xml:space="preserve">could yield transformative outcomes. For instance, a case study involving graduate students at Istanbul University working on interdisciplinary research projects might demonstrate how the editor enhances productivity by reducing formatting errors and improving citation accuracy. Similarly, researchers at the Mimar Sinan Fine Arts University could benefit from its design-specific templates tailored for art history or architectural studies.</w:t>
      </w:r>
    </w:p>
    <w:p>
      <w:pPr>
        <w:pStyle w:val="BodyText"/>
      </w:pPr>
      <w:r>
        <w:t xml:space="preserve">The editor’s potential extends beyond individual scholars. Universities could adopt it as a standardized tool across departments, ensuring uniformity in thesis submissions and reducing administrative burdens. Additionally, publishers in Istanbul—such as those affiliated with the Turkish Scientific and Technological Research Council (TÜBİTAK)—could leverage the editor to streamline manuscript reviews and maintain consistency in published works.</w:t>
      </w:r>
    </w:p>
    <w:bookmarkEnd w:id="24"/>
    <w:bookmarkStart w:id="25" w:name="challenges-and-future-directions"/>
    <w:p>
      <w:pPr>
        <w:pStyle w:val="Heading2"/>
      </w:pPr>
      <w:r>
        <w:t xml:space="preserve">Challenges and Future Directions</w:t>
      </w:r>
    </w:p>
    <w:p>
      <w:pPr>
        <w:pStyle w:val="FirstParagraph"/>
      </w:pPr>
      <w:r>
        <w:t xml:space="preserve">Despite its promise, developing an editor for</w:t>
      </w:r>
      <w:r>
        <w:t xml:space="preserve"> </w:t>
      </w:r>
      <w:r>
        <w:rPr>
          <w:bCs/>
          <w:b/>
        </w:rPr>
        <w:t xml:space="preserve">Turkey Istanbul</w:t>
      </w:r>
      <w:r>
        <w:t xml:space="preserve"> </w:t>
      </w:r>
      <w:r>
        <w:t xml:space="preserve">is not without challenges. The need for continuous updates to align with changing academic standards, both nationally and internationally, requires sustained investment. Moreover, ensuring that the tool is accessible to a wide range of users—ranging from students in public universities to independent researchers—demands affordable pricing models and robust technical support.</w:t>
      </w:r>
    </w:p>
    <w:p>
      <w:pPr>
        <w:pStyle w:val="BodyText"/>
      </w:pPr>
      <w:r>
        <w:t xml:space="preserve">Looking ahead, the editor could integrate emerging technologies such as artificial intelligence for predictive text generation or blockchain-based verification systems for academic authenticity. These innovations would position</w:t>
      </w:r>
      <w:r>
        <w:t xml:space="preserve"> </w:t>
      </w:r>
      <w:r>
        <w:rPr>
          <w:bCs/>
          <w:b/>
        </w:rPr>
        <w:t xml:space="preserve">Turkey Istanbul</w:t>
      </w:r>
      <w:r>
        <w:t xml:space="preserve"> </w:t>
      </w:r>
      <w:r>
        <w:t xml:space="preserve">at the forefront of academic technology development while reinforcing its role as a global knowledge hub.</w:t>
      </w:r>
    </w:p>
    <w:bookmarkEnd w:id="25"/>
    <w:bookmarkStart w:id="26" w:name="conclusion"/>
    <w:p>
      <w:pPr>
        <w:pStyle w:val="Heading2"/>
      </w:pPr>
      <w:r>
        <w:t xml:space="preserve">Conclusion</w:t>
      </w:r>
    </w:p>
    <w:p>
      <w:pPr>
        <w:pStyle w:val="FirstParagraph"/>
      </w:pPr>
      <w:r>
        <w:t xml:space="preserve">In conclusion, an</w:t>
      </w:r>
      <w:r>
        <w:t xml:space="preserve"> </w:t>
      </w:r>
      <w:r>
        <w:rPr>
          <w:bCs/>
          <w:b/>
        </w:rPr>
        <w:t xml:space="preserve">Editor</w:t>
      </w:r>
      <w:r>
        <w:t xml:space="preserve"> </w:t>
      </w:r>
      <w:r>
        <w:t xml:space="preserve">tailored to the specific needs of academia in</w:t>
      </w:r>
      <w:r>
        <w:t xml:space="preserve"> </w:t>
      </w:r>
      <w:r>
        <w:rPr>
          <w:bCs/>
          <w:b/>
        </w:rPr>
        <w:t xml:space="preserve">Turkey Istanbul</w:t>
      </w:r>
      <w:r>
        <w:t xml:space="preserve"> </w:t>
      </w:r>
      <w:r>
        <w:t xml:space="preserve">represents a strategic investment in the region’s intellectual and technological advancement. By addressing linguistic, institutional, and cultural challenges through localized functionality, such a tool can elevate the quality of academic research while fostering innovation and collaboration within Istanbul’s vibrant academic community. As</w:t>
      </w:r>
      <w:r>
        <w:t xml:space="preserve"> </w:t>
      </w:r>
      <w:r>
        <w:rPr>
          <w:bCs/>
          <w:b/>
        </w:rPr>
        <w:t xml:space="preserve">Turkey Istanbul</w:t>
      </w:r>
      <w:r>
        <w:t xml:space="preserve"> </w:t>
      </w:r>
      <w:r>
        <w:t xml:space="preserve">continues to assert itself as a leader in higher education and scientific inquiry, the development of this editor will undoubtedly play a pivotal role in shaping its academic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Academic Use in Turkey, Istanbul</dc:title>
  <dc:creator/>
  <dc:language>en</dc:language>
  <cp:keywords/>
  <dcterms:created xsi:type="dcterms:W3CDTF">2026-05-03T11:41:17Z</dcterms:created>
  <dcterms:modified xsi:type="dcterms:W3CDTF">2026-05-03T11:41:17Z</dcterms:modified>
</cp:coreProperties>
</file>

<file path=docProps/custom.xml><?xml version="1.0" encoding="utf-8"?>
<Properties xmlns="http://schemas.openxmlformats.org/officeDocument/2006/custom-properties" xmlns:vt="http://schemas.openxmlformats.org/officeDocument/2006/docPropsVTypes"/>
</file>