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78e1cf3c7661c7bf9945c60002a9d6ed408b79f"/>
    <w:p>
      <w:pPr>
        <w:pStyle w:val="Heading1"/>
      </w:pPr>
      <w:r>
        <w:t xml:space="preserve">Abstract Academic Document: The Role and Challenges of the Education Administrator in China Guangzhou</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Education Administrator</w:t>
      </w:r>
      <w:r>
        <w:t xml:space="preserve"> </w:t>
      </w:r>
      <w:r>
        <w:t xml:space="preserve">within the educational landscape of</w:t>
      </w:r>
      <w:r>
        <w:t xml:space="preserve"> </w:t>
      </w:r>
      <w:r>
        <w:rPr>
          <w:bCs/>
          <w:b/>
        </w:rPr>
        <w:t xml:space="preserve">China Guangzhou</w:t>
      </w:r>
      <w:r>
        <w:t xml:space="preserve">, a dynamic city experiencing rapid urbanization and economic growth. As one of China's most significant cultural and commercial hubs, Guangzhou presents unique challenges and opportunities for education leaders tasked with aligning local educational policies with national reform agendas. The</w:t>
      </w:r>
      <w:r>
        <w:t xml:space="preserve"> </w:t>
      </w:r>
      <w:r>
        <w:rPr>
          <w:bCs/>
          <w:b/>
        </w:rPr>
        <w:t xml:space="preserve">Education Administrator</w:t>
      </w:r>
      <w:r>
        <w:t xml:space="preserve"> </w:t>
      </w:r>
      <w:r>
        <w:t xml:space="preserve">in this context operates at the intersection of policy implementation, resource allocation, and stakeholder engagement, ensuring that institutional goals align with both global standards and the specific needs of Guangzhou's diverse population. This abstract academic analysis delves into the multifaceted responsibilities of these administrators, their strategic importance in navigating China's evolving education system, and their role in fostering innovation within Guangzhou’s schools and universities.</w:t>
      </w:r>
    </w:p>
    <w:bookmarkStart w:id="20" w:name="X83ec85333f0e9bb3792edc1cf2db3c87ce8af24"/>
    <w:p>
      <w:pPr>
        <w:pStyle w:val="Heading2"/>
      </w:pPr>
      <w:r>
        <w:t xml:space="preserve">Contextualizing Education Administration in China Guangzhou</w:t>
      </w:r>
    </w:p>
    <w:p>
      <w:pPr>
        <w:pStyle w:val="FirstParagraph"/>
      </w:pPr>
      <w:r>
        <w:rPr>
          <w:bCs/>
          <w:b/>
        </w:rPr>
        <w:t xml:space="preserve">China Guangzhou</w:t>
      </w:r>
      <w:r>
        <w:t xml:space="preserve"> </w:t>
      </w:r>
      <w:r>
        <w:t xml:space="preserve">has emerged as a pivotal center for educational reform in southern China. With its strategic location along the Pearl River Delta, the city hosts a mix of traditional and modern institutions, ranging from primary schools to world-class universities such as Sun Yat-sen University. The</w:t>
      </w:r>
      <w:r>
        <w:t xml:space="preserve"> </w:t>
      </w:r>
      <w:r>
        <w:rPr>
          <w:bCs/>
          <w:b/>
        </w:rPr>
        <w:t xml:space="preserve">Education Administrator</w:t>
      </w:r>
      <w:r>
        <w:t xml:space="preserve"> </w:t>
      </w:r>
      <w:r>
        <w:t xml:space="preserve">in Guangzhou must balance the demands of a rapidly growing population with the need to uphold China’s national education policies, including standardized curricula and performance metrics. This dual responsibility requires administrators to act as both regulators and innovators, ensuring that educational institutions meet quality benchmarks while adapting to the city’s unique socio-economic dynamics.</w:t>
      </w:r>
    </w:p>
    <w:bookmarkEnd w:id="20"/>
    <w:bookmarkStart w:id="21" w:name="X11607d640db9fc627dbf956fd15fa54200c7511"/>
    <w:p>
      <w:pPr>
        <w:pStyle w:val="Heading2"/>
      </w:pPr>
      <w:r>
        <w:t xml:space="preserve">Key Responsibilities of the Education Administrator in Guangzhou</w:t>
      </w:r>
    </w:p>
    <w:p>
      <w:pPr>
        <w:pStyle w:val="FirstParagraph"/>
      </w:pPr>
      <w:r>
        <w:t xml:space="preserve">The</w:t>
      </w:r>
      <w:r>
        <w:t xml:space="preserve"> </w:t>
      </w:r>
      <w:r>
        <w:rPr>
          <w:bCs/>
          <w:b/>
        </w:rPr>
        <w:t xml:space="preserve">Education Administrator</w:t>
      </w:r>
      <w:r>
        <w:t xml:space="preserve"> </w:t>
      </w:r>
      <w:r>
        <w:t xml:space="preserve">in Guangzhou is central to managing institutional operations, from curriculum design and teacher training programs to infrastructure development. In a city where private and public education sectors coexist, these administrators must navigate competing priorities while fostering collaboration between stakeholders such as government officials, school boards, parents, and international partners. Additionally, they play a critical role in integrating technology into classrooms—a priority emphasized by China’s broader digital transformation agenda. For example, Guangzhou’s push for smart schools has required administrators to oversee the adoption of AI-driven teaching tools and e-learning platforms.</w:t>
      </w:r>
    </w:p>
    <w:bookmarkEnd w:id="21"/>
    <w:bookmarkStart w:id="22" w:name="X6803932e81133da893f4232ec70db630e1a46f4"/>
    <w:p>
      <w:pPr>
        <w:pStyle w:val="Heading2"/>
      </w:pPr>
      <w:r>
        <w:t xml:space="preserve">Challenges Faced by Education Administrators in Guangzhou</w:t>
      </w:r>
    </w:p>
    <w:p>
      <w:pPr>
        <w:pStyle w:val="FirstParagraph"/>
      </w:pPr>
      <w:r>
        <w:rPr>
          <w:bCs/>
          <w:b/>
        </w:rPr>
        <w:t xml:space="preserve">China Guangzhou</w:t>
      </w:r>
      <w:r>
        <w:t xml:space="preserve">’s rapid urbanization has intensified challenges such as overcrowded classrooms, resource disparities between districts, and the need to address the educational needs of an increasingly diverse student population. Migrants from rural provinces and international students contribute to this diversity, necessitating culturally responsive policies. Moreover, administrators must contend with pressure to meet national assessment standards while maintaining creativity in teaching methods. The post-pandemic era has further complicated matters by requiring hybrid learning models that balance in-person and virtual education without compromising academic outcomes.</w:t>
      </w:r>
    </w:p>
    <w:bookmarkEnd w:id="22"/>
    <w:bookmarkStart w:id="23" w:name="Xe6d3323b80f8bdc9cb2bb7d24ddb1296d3817fd"/>
    <w:p>
      <w:pPr>
        <w:pStyle w:val="Heading2"/>
      </w:pPr>
      <w:r>
        <w:t xml:space="preserve">Strategies for Effective Education Administration in Guangzhou</w:t>
      </w:r>
    </w:p>
    <w:p>
      <w:pPr>
        <w:pStyle w:val="FirstParagraph"/>
      </w:pPr>
      <w:r>
        <w:t xml:space="preserve">To address these challenges, the</w:t>
      </w:r>
      <w:r>
        <w:t xml:space="preserve"> </w:t>
      </w:r>
      <w:r>
        <w:rPr>
          <w:bCs/>
          <w:b/>
        </w:rPr>
        <w:t xml:space="preserve">Education Administrator</w:t>
      </w:r>
      <w:r>
        <w:t xml:space="preserve"> </w:t>
      </w:r>
      <w:r>
        <w:t xml:space="preserve">in Guangzhou employs a range of strategies, including data-driven decision-making and community engagement. For instance, leveraging big data analytics to monitor student performance allows administrators to identify gaps and allocate resources more effectively. Collaborative partnerships with local businesses and NGOs have also enabled schools to develop vocational training programs aligned with Guangzhou’s booming manufacturing and tech industries. Furthermore, professional development initiatives for teachers—such as workshops on inclusive education—are critical in equipping educators with the skills needed to address the city’s evolving student demographics.</w:t>
      </w:r>
    </w:p>
    <w:bookmarkEnd w:id="23"/>
    <w:bookmarkStart w:id="24" w:name="the-role-of-policy-and-governance"/>
    <w:p>
      <w:pPr>
        <w:pStyle w:val="Heading2"/>
      </w:pPr>
      <w:r>
        <w:t xml:space="preserve">The Role of Policy and Governance</w:t>
      </w:r>
    </w:p>
    <w:p>
      <w:pPr>
        <w:pStyle w:val="FirstParagraph"/>
      </w:pPr>
      <w:r>
        <w:rPr>
          <w:bCs/>
          <w:b/>
        </w:rPr>
        <w:t xml:space="preserve">China Guangzhou</w:t>
      </w:r>
      <w:r>
        <w:t xml:space="preserve">’s educational policies are shaped by both national directives from Beijing and localized strategies tailored to the city’s needs. Administrators must ensure compliance with regulations such as the "Double Reduction" policy, which aims to reduce students’ academic burden. However, this also requires creative solutions to maintain educational quality while promoting holistic development. In Guangzhou, some administrators have introduced project-based learning and extracurricular activities that align with national goals but resonate with local cultural values.</w:t>
      </w:r>
    </w:p>
    <w:bookmarkEnd w:id="24"/>
    <w:bookmarkStart w:id="25" w:name="X79852137eaf0ece4fdbbb6aaf30f4f5dea20bed"/>
    <w:p>
      <w:pPr>
        <w:pStyle w:val="Heading2"/>
      </w:pPr>
      <w:r>
        <w:t xml:space="preserve">Case Study: Innovation in Guangzhou’s School Districts</w:t>
      </w:r>
    </w:p>
    <w:p>
      <w:pPr>
        <w:pStyle w:val="FirstParagraph"/>
      </w:pPr>
      <w:r>
        <w:t xml:space="preserve">A notable example of the</w:t>
      </w:r>
      <w:r>
        <w:t xml:space="preserve"> </w:t>
      </w:r>
      <w:r>
        <w:rPr>
          <w:bCs/>
          <w:b/>
        </w:rPr>
        <w:t xml:space="preserve">Education Administrator</w:t>
      </w:r>
      <w:r>
        <w:t xml:space="preserve">’s impact is seen in Guangzhou’s Baiyun District, where administrators spearheaded a pilot program to integrate environmental education into primary school curricula. By partnering with local ecological reserves and tech companies, they developed immersive learning experiences that align with China’s green development initiatives. This case highlights how administrators in Guangzhou can drive systemic change by bridging educational theory with practical, community-based projects.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China Guangzhou</w:t>
      </w:r>
      <w:r>
        <w:t xml:space="preserve"> </w:t>
      </w:r>
      <w:r>
        <w:t xml:space="preserve">is indispensable to the city’s educational advancement and its alignment with national priorities. As Guangzhou continues to grow as a global education hub, these administrators must remain agile in addressing challenges such as technological integration, demographic diversity, and policy compliance. Their ability to innovate while adhering to China’s broader educational framework will determine the long-term success of Guangzhou’s schools and universities. This abstract academic document underscores the strategic importance of the</w:t>
      </w:r>
      <w:r>
        <w:t xml:space="preserve"> </w:t>
      </w:r>
      <w:r>
        <w:rPr>
          <w:bCs/>
          <w:b/>
        </w:rPr>
        <w:t xml:space="preserve">Education Administrator</w:t>
      </w:r>
      <w:r>
        <w:t xml:space="preserve"> </w:t>
      </w:r>
      <w:r>
        <w:t xml:space="preserve">in shaping a resilient and forward-thinking educational system within</w:t>
      </w:r>
      <w:r>
        <w:t xml:space="preserve"> </w:t>
      </w:r>
      <w:r>
        <w:rPr>
          <w:bCs/>
          <w:b/>
        </w:rPr>
        <w:t xml:space="preserve">China Guangzhou</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China Guangzhou</dc:title>
  <dc:creator/>
  <dc:language>en</dc:language>
  <cp:keywords/>
  <dcterms:created xsi:type="dcterms:W3CDTF">2026-07-21T04:50:14Z</dcterms:created>
  <dcterms:modified xsi:type="dcterms:W3CDTF">2026-07-21T04:50:14Z</dcterms:modified>
</cp:coreProperties>
</file>

<file path=docProps/custom.xml><?xml version="1.0" encoding="utf-8"?>
<Properties xmlns="http://schemas.openxmlformats.org/officeDocument/2006/custom-properties" xmlns:vt="http://schemas.openxmlformats.org/officeDocument/2006/docPropsVTypes"/>
</file>