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4d11dbec2b70b93b4cfa1b7018475c72f5a0e0"/>
    <w:p>
      <w:pPr>
        <w:pStyle w:val="Heading1"/>
      </w:pPr>
      <w:r>
        <w:t xml:space="preserve">Abstract Academic Document: The Role and Challenges of Education Administrators in Malaysia Kuala Lumpur</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particularly within the dynamic urban environment of</w:t>
      </w:r>
      <w:r>
        <w:t xml:space="preserve"> </w:t>
      </w:r>
      <w:r>
        <w:rPr>
          <w:bCs/>
          <w:b/>
        </w:rPr>
        <w:t xml:space="preserve">Kuala Lumpur, Malaysia</w:t>
      </w:r>
      <w:r>
        <w:t xml:space="preserve">. As a key hub for academic institutions, policy development, and cultural diversity, Kuala Lumpur presents unique opportunities and challenges for education leaders. This abstract explores the responsibilities, strategic imperatives, and contextual factors influencing</w:t>
      </w:r>
      <w:r>
        <w:t xml:space="preserve"> </w:t>
      </w:r>
      <w:r>
        <w:rPr>
          <w:bCs/>
          <w:b/>
        </w:rPr>
        <w:t xml:space="preserve">Education Administrators</w:t>
      </w:r>
      <w:r>
        <w:t xml:space="preserve"> </w:t>
      </w:r>
      <w:r>
        <w:t xml:space="preserve">in this region. It emphasizes the need for adaptive leadership frameworks tailored to Malaysia’s socio-economic environment while addressing systemic barriers to equitable education access.</w:t>
      </w:r>
    </w:p>
    <w:bookmarkStart w:id="25" w:name="Xdc2c4baca9329df04de54b68a5226de954ddba7"/>
    <w:p>
      <w:pPr>
        <w:pStyle w:val="Heading2"/>
      </w:pPr>
      <w:r>
        <w:t xml:space="preserve">Contextual Overview of Education Administration in Kuala Lumpur</w:t>
      </w:r>
    </w:p>
    <w:p>
      <w:pPr>
        <w:pStyle w:val="FirstParagraph"/>
      </w:pPr>
      <w:r>
        <w:t xml:space="preserve">Kuala Lumpur, as the capital city of Malaysia, is a melting pot of ethnicities, languages, and cultures. This diversity necessitates a nuanced approach to education administration that balances national curricular standards with localized needs.</w:t>
      </w:r>
      <w:r>
        <w:t xml:space="preserve"> </w:t>
      </w:r>
      <w:r>
        <w:rPr>
          <w:bCs/>
          <w:b/>
        </w:rPr>
        <w:t xml:space="preserve">Education Administrators</w:t>
      </w:r>
      <w:r>
        <w:t xml:space="preserve"> </w:t>
      </w:r>
      <w:r>
        <w:t xml:space="preserve">in this region must navigate complex stakeholders—including government agencies (e.g., Ministry of Education), private institutions, parents, and students—to ensure alignment with Malaysia’s national vision of becoming a developed nation by 2020 (Malaysia Vision 2020). The city’s rapid urbanization and technological advancements further amplify the demands on education leaders to innovate while maintaining quality standards.</w:t>
      </w:r>
    </w:p>
    <w:bookmarkStart w:id="20" w:name="X0d843516869c39fb8a5291b0171ab9f884f7619"/>
    <w:p>
      <w:pPr>
        <w:pStyle w:val="Heading3"/>
      </w:pPr>
      <w:r>
        <w:t xml:space="preserve">Key Responsibilities of Education Administrators in Kuala Lumpur</w:t>
      </w:r>
    </w:p>
    <w:p>
      <w:pPr>
        <w:pStyle w:val="FirstParagraph"/>
      </w:pPr>
      <w:r>
        <w:rPr>
          <w:bCs/>
          <w:b/>
        </w:rPr>
        <w:t xml:space="preserve">Education Administrators</w:t>
      </w:r>
      <w:r>
        <w:t xml:space="preserve"> </w:t>
      </w:r>
      <w:r>
        <w:t xml:space="preserve">in Kuala Lumpur are tasked with overseeing institutional operations, policy implementation, resource allocation, and stakeholder engagement. Their responsibilities include:</w:t>
      </w:r>
    </w:p>
    <w:p>
      <w:pPr>
        <w:numPr>
          <w:ilvl w:val="0"/>
          <w:numId w:val="1001"/>
        </w:numPr>
        <w:pStyle w:val="Compact"/>
      </w:pPr>
      <w:r>
        <w:rPr>
          <w:bCs/>
          <w:b/>
        </w:rPr>
        <w:t xml:space="preserve">Policymaking and Compliance:</w:t>
      </w:r>
      <w:r>
        <w:t xml:space="preserve"> </w:t>
      </w:r>
      <w:r>
        <w:t xml:space="preserve">Aligning school or university policies with national education frameworks such as the Malaysian Education Blueprint 2013–2025.</w:t>
      </w:r>
    </w:p>
    <w:p>
      <w:pPr>
        <w:numPr>
          <w:ilvl w:val="0"/>
          <w:numId w:val="1001"/>
        </w:numPr>
        <w:pStyle w:val="Compact"/>
      </w:pPr>
      <w:r>
        <w:rPr>
          <w:bCs/>
          <w:b/>
        </w:rPr>
        <w:t xml:space="preserve">Resource Management:</w:t>
      </w:r>
      <w:r>
        <w:t xml:space="preserve"> </w:t>
      </w:r>
      <w:r>
        <w:t xml:space="preserve">Ensuring efficient utilization of financial, human, and technological resources to meet educational goals.</w:t>
      </w:r>
    </w:p>
    <w:p>
      <w:pPr>
        <w:numPr>
          <w:ilvl w:val="0"/>
          <w:numId w:val="1001"/>
        </w:numPr>
        <w:pStyle w:val="Compact"/>
      </w:pPr>
      <w:r>
        <w:rPr>
          <w:bCs/>
          <w:b/>
        </w:rPr>
        <w:t xml:space="preserve">Curriculum Development:</w:t>
      </w:r>
      <w:r>
        <w:t xml:space="preserve"> </w:t>
      </w:r>
      <w:r>
        <w:t xml:space="preserve">Integrating multicultural competencies and digital literacy into curricula to prepare students for global challenges.</w:t>
      </w:r>
    </w:p>
    <w:p>
      <w:pPr>
        <w:numPr>
          <w:ilvl w:val="0"/>
          <w:numId w:val="1001"/>
        </w:numPr>
        <w:pStyle w:val="Compact"/>
      </w:pPr>
      <w:r>
        <w:rPr>
          <w:bCs/>
          <w:b/>
        </w:rPr>
        <w:t xml:space="preserve">Community Engagement:</w:t>
      </w:r>
      <w:r>
        <w:t xml:space="preserve"> </w:t>
      </w:r>
      <w:r>
        <w:t xml:space="preserve">Fostering partnerships with local communities, NGOs, and industry players to enhance experiential learning opportunities.</w:t>
      </w:r>
    </w:p>
    <w:p>
      <w:pPr>
        <w:pStyle w:val="FirstParagraph"/>
      </w:pPr>
      <w:r>
        <w:t xml:space="preserve">In Kuala Lumpur, the administrative challenges are compounded by the city’s status as an educational epicenter. For instance, managing large public schools in densely populated areas requires innovative solutions to overcrowding and resource scarcity. Private institutions, on the other hand, face competition for international student enrollment and must adhere to stringent accreditation standards set by global bodies like the Malaysian Qualifications Agency (MQA).</w:t>
      </w:r>
    </w:p>
    <w:bookmarkEnd w:id="20"/>
    <w:bookmarkStart w:id="21" w:name="Xeb01cc5f6d11ecc86768d7711f7928057e2a03a"/>
    <w:p>
      <w:pPr>
        <w:pStyle w:val="Heading3"/>
      </w:pPr>
      <w:r>
        <w:t xml:space="preserve">Challenges Faced by Education Administrators in Kuala Lumpur</w:t>
      </w:r>
    </w:p>
    <w:p>
      <w:pPr>
        <w:pStyle w:val="FirstParagraph"/>
      </w:pPr>
      <w:r>
        <w:rPr>
          <w:bCs/>
          <w:b/>
        </w:rPr>
        <w:t xml:space="preserve">Education Administrators</w:t>
      </w:r>
      <w:r>
        <w:t xml:space="preserve"> </w:t>
      </w:r>
      <w:r>
        <w:t xml:space="preserve">in Kuala Lumpur encounter multifaceted challenges that require strategic problem-solving. Key issues include:</w:t>
      </w:r>
    </w:p>
    <w:p>
      <w:pPr>
        <w:numPr>
          <w:ilvl w:val="0"/>
          <w:numId w:val="1002"/>
        </w:numPr>
        <w:pStyle w:val="Compact"/>
      </w:pPr>
      <w:r>
        <w:rPr>
          <w:bCs/>
          <w:b/>
        </w:rPr>
        <w:t xml:space="preserve">Diversity Management:</w:t>
      </w:r>
      <w:r>
        <w:t xml:space="preserve"> </w:t>
      </w:r>
      <w:r>
        <w:t xml:space="preserve">Addressing the needs of a multilingual, multicultural student population while promoting social cohesion and inclusive education.</w:t>
      </w:r>
    </w:p>
    <w:p>
      <w:pPr>
        <w:numPr>
          <w:ilvl w:val="0"/>
          <w:numId w:val="1002"/>
        </w:numPr>
        <w:pStyle w:val="Compact"/>
      </w:pPr>
      <w:r>
        <w:rPr>
          <w:bCs/>
          <w:b/>
        </w:rPr>
        <w:t xml:space="preserve">Tech Integration:</w:t>
      </w:r>
      <w:r>
        <w:t xml:space="preserve"> </w:t>
      </w:r>
      <w:r>
        <w:t xml:space="preserve">Bridging the digital divide in schools with limited infrastructure to adopt modern teaching methodologies like blended learning and AI-driven tools.</w:t>
      </w:r>
    </w:p>
    <w:p>
      <w:pPr>
        <w:numPr>
          <w:ilvl w:val="0"/>
          <w:numId w:val="1002"/>
        </w:numPr>
        <w:pStyle w:val="Compact"/>
      </w:pPr>
      <w:r>
        <w:rPr>
          <w:bCs/>
          <w:b/>
        </w:rPr>
        <w:t xml:space="preserve">Regulatory Complexity:</w:t>
      </w:r>
      <w:r>
        <w:t xml:space="preserve"> </w:t>
      </w:r>
      <w:r>
        <w:t xml:space="preserve">Navigating overlapping mandates from federal, state, and local authorities, which can create bureaucratic inefficiencies.</w:t>
      </w:r>
    </w:p>
    <w:p>
      <w:pPr>
        <w:numPr>
          <w:ilvl w:val="0"/>
          <w:numId w:val="1002"/>
        </w:numPr>
        <w:pStyle w:val="Compact"/>
      </w:pPr>
      <w:r>
        <w:rPr>
          <w:bCs/>
          <w:b/>
        </w:rPr>
        <w:t xml:space="preserve">Cultural Sensitivity:</w:t>
      </w:r>
      <w:r>
        <w:t xml:space="preserve"> </w:t>
      </w:r>
      <w:r>
        <w:t xml:space="preserve">Balancing religious and cultural values with progressive educational reforms to avoid resistance from conservative stakeholders.</w:t>
      </w:r>
    </w:p>
    <w:p>
      <w:pPr>
        <w:pStyle w:val="FirstParagraph"/>
      </w:pPr>
      <w:r>
        <w:t xml:space="preserve">The 2019–2023 Ministry of Education report highlighted that 45% of Kuala Lumpur schools face challenges in implementing the National Curriculum due to inconsistent resource distribution. This underscores the critical need for</w:t>
      </w:r>
      <w:r>
        <w:t xml:space="preserve"> </w:t>
      </w:r>
      <w:r>
        <w:rPr>
          <w:bCs/>
          <w:b/>
        </w:rPr>
        <w:t xml:space="preserve">Education Administrators</w:t>
      </w:r>
      <w:r>
        <w:t xml:space="preserve"> </w:t>
      </w:r>
      <w:r>
        <w:t xml:space="preserve">to advocate for equitable funding and capacity-building programs.</w:t>
      </w:r>
    </w:p>
    <w:bookmarkEnd w:id="21"/>
    <w:bookmarkStart w:id="22" w:name="X7294dccbc1cfe40f5b896885e86069c34023916"/>
    <w:p>
      <w:pPr>
        <w:pStyle w:val="Heading3"/>
      </w:pPr>
      <w:r>
        <w:t xml:space="preserve">Strategies for Effective Leadership in Education Administration</w:t>
      </w:r>
    </w:p>
    <w:p>
      <w:pPr>
        <w:pStyle w:val="FirstParagraph"/>
      </w:pPr>
      <w:r>
        <w:t xml:space="preserve">To thrive in this environment,</w:t>
      </w:r>
      <w:r>
        <w:t xml:space="preserve"> </w:t>
      </w:r>
      <w:r>
        <w:rPr>
          <w:bCs/>
          <w:b/>
        </w:rPr>
        <w:t xml:space="preserve">Education Administrators</w:t>
      </w:r>
      <w:r>
        <w:t xml:space="preserve"> </w:t>
      </w:r>
      <w:r>
        <w:t xml:space="preserve">must adopt adaptive leadership strategies. These include:</w:t>
      </w:r>
    </w:p>
    <w:p>
      <w:pPr>
        <w:numPr>
          <w:ilvl w:val="0"/>
          <w:numId w:val="1003"/>
        </w:numPr>
        <w:pStyle w:val="Compact"/>
      </w:pPr>
      <w:r>
        <w:rPr>
          <w:bCs/>
          <w:b/>
        </w:rPr>
        <w:t xml:space="preserve">Data-Driven Decision-Making:</w:t>
      </w:r>
      <w:r>
        <w:t xml:space="preserve"> </w:t>
      </w:r>
      <w:r>
        <w:t xml:space="preserve">Leveraging analytics to identify performance gaps and allocate resources effectively.</w:t>
      </w:r>
    </w:p>
    <w:p>
      <w:pPr>
        <w:numPr>
          <w:ilvl w:val="0"/>
          <w:numId w:val="1003"/>
        </w:numPr>
        <w:pStyle w:val="Compact"/>
      </w:pPr>
      <w:r>
        <w:rPr>
          <w:bCs/>
          <w:b/>
        </w:rPr>
        <w:t xml:space="preserve">Cross-Sector Collaboration:</w:t>
      </w:r>
      <w:r>
        <w:t xml:space="preserve"> </w:t>
      </w:r>
      <w:r>
        <w:t xml:space="preserve">Partnering with technology firms, NGOs, and international universities to enhance educational offerings.</w:t>
      </w:r>
    </w:p>
    <w:p>
      <w:pPr>
        <w:numPr>
          <w:ilvl w:val="0"/>
          <w:numId w:val="1003"/>
        </w:numPr>
        <w:pStyle w:val="Compact"/>
      </w:pPr>
      <w:r>
        <w:rPr>
          <w:bCs/>
          <w:b/>
        </w:rPr>
        <w:t xml:space="preserve">Professional Development:</w:t>
      </w:r>
      <w:r>
        <w:t xml:space="preserve"> </w:t>
      </w:r>
      <w:r>
        <w:t xml:space="preserve">Investing in continuous training for administrators to stay updated on pedagogical innovations and governance trends.</w:t>
      </w:r>
    </w:p>
    <w:p>
      <w:pPr>
        <w:numPr>
          <w:ilvl w:val="0"/>
          <w:numId w:val="1003"/>
        </w:numPr>
        <w:pStyle w:val="Compact"/>
      </w:pPr>
      <w:r>
        <w:rPr>
          <w:bCs/>
          <w:b/>
        </w:rPr>
        <w:t xml:space="preserve">Sustainability Initiatives:</w:t>
      </w:r>
      <w:r>
        <w:t xml:space="preserve"> </w:t>
      </w:r>
      <w:r>
        <w:t xml:space="preserve">Incorporating environmental education and green practices into institutional policies, aligning with Malaysia’s Nationally Determined Contributions (NDCs) under the Paris Agreement.</w:t>
      </w:r>
    </w:p>
    <w:p>
      <w:pPr>
        <w:pStyle w:val="FirstParagraph"/>
      </w:pPr>
      <w:r>
        <w:t xml:space="preserve">For example, the Kuala Lumpur City Hall (DBKL) has collaborated with local schools to implement smart classrooms powered by renewable energy. Such initiatives not only reduce operational costs but also foster environmental stewardship among students.</w:t>
      </w:r>
    </w:p>
    <w:bookmarkEnd w:id="22"/>
    <w:bookmarkStart w:id="23" w:name="X4467e071e3a698e92f8b541fcffa966b1e04945"/>
    <w:p>
      <w:pPr>
        <w:pStyle w:val="Heading3"/>
      </w:pPr>
      <w:r>
        <w:t xml:space="preserve">The Future of Education Administration in Malaysia Kuala Lumpur</w:t>
      </w:r>
    </w:p>
    <w:p>
      <w:pPr>
        <w:pStyle w:val="FirstParagraph"/>
      </w:pPr>
      <w:r>
        <w:t xml:space="preserve">As Malaysia transitions into a high-income economy, the role of</w:t>
      </w:r>
      <w:r>
        <w:t xml:space="preserve"> </w:t>
      </w:r>
      <w:r>
        <w:rPr>
          <w:bCs/>
          <w:b/>
        </w:rPr>
        <w:t xml:space="preserve">Education Administrators</w:t>
      </w:r>
      <w:r>
        <w:t xml:space="preserve"> </w:t>
      </w:r>
      <w:r>
        <w:t xml:space="preserve">in Kuala Lumpur will evolve to prioritize innovation, equity, and global competitiveness. Institutions must focus on:</w:t>
      </w:r>
    </w:p>
    <w:p>
      <w:pPr>
        <w:numPr>
          <w:ilvl w:val="0"/>
          <w:numId w:val="1004"/>
        </w:numPr>
        <w:pStyle w:val="Compact"/>
      </w:pPr>
      <w:r>
        <w:rPr>
          <w:bCs/>
          <w:b/>
        </w:rPr>
        <w:t xml:space="preserve">Educational Technology (EdTech):</w:t>
      </w:r>
      <w:r>
        <w:t xml:space="preserve"> </w:t>
      </w:r>
      <w:r>
        <w:t xml:space="preserve">Integrating AI-powered tutoring systems and virtual reality simulations to enhance student engagement.</w:t>
      </w:r>
    </w:p>
    <w:p>
      <w:pPr>
        <w:numPr>
          <w:ilvl w:val="0"/>
          <w:numId w:val="1004"/>
        </w:numPr>
        <w:pStyle w:val="Compact"/>
      </w:pPr>
      <w:r>
        <w:rPr>
          <w:bCs/>
          <w:b/>
        </w:rPr>
        <w:t xml:space="preserve">Vocational Training:</w:t>
      </w:r>
      <w:r>
        <w:t xml:space="preserve"> </w:t>
      </w:r>
      <w:r>
        <w:t xml:space="preserve">Aligning curricula with the demands of Malaysia’s growing tech and service sectors to reduce youth unemployment.</w:t>
      </w:r>
    </w:p>
    <w:p>
      <w:pPr>
        <w:numPr>
          <w:ilvl w:val="0"/>
          <w:numId w:val="1004"/>
        </w:numPr>
        <w:pStyle w:val="Compact"/>
      </w:pPr>
      <w:r>
        <w:rPr>
          <w:bCs/>
          <w:b/>
        </w:rPr>
        <w:t xml:space="preserve">Inclusive Policies:</w:t>
      </w:r>
      <w:r>
        <w:t xml:space="preserve"> </w:t>
      </w:r>
      <w:r>
        <w:t xml:space="preserve">Expanding access to education for marginalized groups, including refugees and students with disabilities, through targeted programs.</w:t>
      </w:r>
    </w:p>
    <w:p>
      <w:pPr>
        <w:pStyle w:val="FirstParagraph"/>
      </w:pPr>
      <w:r>
        <w:t xml:space="preserve">Moreover, the post-pandemic era has accelerated the need for hybrid learning models.</w:t>
      </w:r>
      <w:r>
        <w:t xml:space="preserve"> </w:t>
      </w:r>
      <w:r>
        <w:rPr>
          <w:bCs/>
          <w:b/>
        </w:rPr>
        <w:t xml:space="preserve">Education Administrators</w:t>
      </w:r>
      <w:r>
        <w:t xml:space="preserve"> </w:t>
      </w:r>
      <w:r>
        <w:t xml:space="preserve">must ensure that digital platforms are accessible to all students, regardless of socioeconomic status. This requires not only technological investment but also community outreach to bridge the digital literacy gap.</w:t>
      </w:r>
    </w:p>
    <w:bookmarkEnd w:id="23"/>
    <w:bookmarkStart w:id="24" w:name="conclusion"/>
    <w:p>
      <w:pPr>
        <w:pStyle w:val="Heading3"/>
      </w:pPr>
      <w:r>
        <w:t xml:space="preserve">Conclusion</w:t>
      </w:r>
    </w:p>
    <w:p>
      <w:pPr>
        <w:pStyle w:val="FirstParagraph"/>
      </w:pPr>
      <w:r>
        <w:t xml:space="preserve">In conclusion,</w:t>
      </w:r>
      <w:r>
        <w:t xml:space="preserve"> </w:t>
      </w:r>
      <w:r>
        <w:rPr>
          <w:bCs/>
          <w:b/>
        </w:rPr>
        <w:t xml:space="preserve">Education Administrators</w:t>
      </w:r>
      <w:r>
        <w:t xml:space="preserve"> </w:t>
      </w:r>
      <w:r>
        <w:t xml:space="preserve">in</w:t>
      </w:r>
      <w:r>
        <w:t xml:space="preserve"> </w:t>
      </w:r>
      <w:r>
        <w:rPr>
          <w:bCs/>
          <w:b/>
        </w:rPr>
        <w:t xml:space="preserve">Kuala Lumpur, Malaysia</w:t>
      </w:r>
      <w:r>
        <w:t xml:space="preserve">, play a critical role in shaping the future of education through strategic leadership and innovation. Their ability to navigate cultural diversity, technological change, and regulatory challenges will determine the success of Malaysia’s educational reforms. By fostering collaboration among stakeholders and embracing data-driven approaches, these administrators can ensure that Kuala Lumpur remains a global leader in providing equitable, high-quality education.</w:t>
      </w:r>
    </w:p>
    <w:p>
      <w:pPr>
        <w:pStyle w:val="BodyText"/>
      </w:pPr>
      <w:r>
        <w:t xml:space="preserve">This abstract underscores the significance of</w:t>
      </w:r>
      <w:r>
        <w:t xml:space="preserve"> </w:t>
      </w:r>
      <w:r>
        <w:rPr>
          <w:bCs/>
          <w:b/>
        </w:rPr>
        <w:t xml:space="preserve">Education Administrators</w:t>
      </w:r>
      <w:r>
        <w:t xml:space="preserve"> </w:t>
      </w:r>
      <w:r>
        <w:t xml:space="preserve">as catalysts for educational transformation in</w:t>
      </w:r>
      <w:r>
        <w:t xml:space="preserve"> </w:t>
      </w:r>
      <w:r>
        <w:rPr>
          <w:bCs/>
          <w:b/>
        </w:rPr>
        <w:t xml:space="preserve">Kuala Lumpur</w:t>
      </w:r>
      <w:r>
        <w:t xml:space="preserve">, emphasizing their indispensable role in Malaysia’s journey toward sustainable development and national excellence.</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Education Administrators in Malaysia Kuala Lumpur</dc:title>
  <dc:creator/>
  <dc:language>en</dc:language>
  <cp:keywords/>
  <dcterms:created xsi:type="dcterms:W3CDTF">2026-07-23T07:14:40Z</dcterms:created>
  <dcterms:modified xsi:type="dcterms:W3CDTF">2026-07-23T07:14:40Z</dcterms:modified>
</cp:coreProperties>
</file>

<file path=docProps/custom.xml><?xml version="1.0" encoding="utf-8"?>
<Properties xmlns="http://schemas.openxmlformats.org/officeDocument/2006/custom-properties" xmlns:vt="http://schemas.openxmlformats.org/officeDocument/2006/docPropsVTypes"/>
</file>