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7ec89ea21bdabbb68326221a1474a3012c0adb"/>
    <w:p>
      <w:pPr>
        <w:pStyle w:val="Heading1"/>
      </w:pPr>
      <w:r>
        <w:t xml:space="preserve">Abstract Academic Document: The Role and Challenges of Education Administrators in Uzbekistan Tashkent</w:t>
      </w:r>
    </w:p>
    <w:p>
      <w:pPr>
        <w:pStyle w:val="FirstParagraph"/>
      </w:pPr>
      <w:r>
        <w:rPr>
          <w:bCs/>
          <w:b/>
        </w:rPr>
        <w:t xml:space="preserve">Abstract academic:</w:t>
      </w:r>
      <w:r>
        <w:t xml:space="preserve"> </w:t>
      </w:r>
      <w:r>
        <w:t xml:space="preserve">This academic document provides a comprehensive analysis of the role, responsibilities, and challenges faced by</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with a focus on the socio-political, economic, and educational landscape of the region. The study explores how education administrators in Tashkent navigate institutional dynamics to drive systemic improvements in educational quality, equity, and inclusivity. It critically examines the intersection of policy frameworks, resource allocation, teacher training programs, and community engagement within the context of Uzbekistan's post-Soviet reforms and contemporary challenges.</w:t>
      </w:r>
    </w:p>
    <w:bookmarkStart w:id="20" w:name="introduction"/>
    <w:p>
      <w:pPr>
        <w:pStyle w:val="Heading2"/>
      </w:pPr>
      <w:r>
        <w:t xml:space="preserve">Introduction</w:t>
      </w:r>
    </w:p>
    <w:p>
      <w:pPr>
        <w:pStyle w:val="FirstParagraph"/>
      </w:pPr>
      <w:r>
        <w:t xml:space="preserve">The</w:t>
      </w:r>
      <w:r>
        <w:t xml:space="preserve"> </w:t>
      </w:r>
      <w:r>
        <w:rPr>
          <w:bCs/>
          <w:b/>
        </w:rPr>
        <w:t xml:space="preserve">Education Administrator</w:t>
      </w:r>
      <w:r>
        <w:t xml:space="preserve"> </w:t>
      </w:r>
      <w:r>
        <w:t xml:space="preserve">occupies a pivotal role in shaping educational outcomes at both institutional and systemic levels. In</w:t>
      </w:r>
      <w:r>
        <w:t xml:space="preserve"> </w:t>
      </w:r>
      <w:r>
        <w:rPr>
          <w:bCs/>
          <w:b/>
        </w:rPr>
        <w:t xml:space="preserve">Uzbekistan Tashkent</w:t>
      </w:r>
      <w:r>
        <w:t xml:space="preserve">, the capital city, this role is particularly significant due to its status as a hub for higher education, research, and policy development. The academic landscape in Tashkent has evolved significantly since Uzbekistan's independence in 1991, with a focus on aligning educational priorities with global standards while addressing local needs. This document serves as an</w:t>
      </w:r>
      <w:r>
        <w:t xml:space="preserve"> </w:t>
      </w:r>
      <w:r>
        <w:rPr>
          <w:bCs/>
          <w:b/>
        </w:rPr>
        <w:t xml:space="preserve">abstract academic</w:t>
      </w:r>
      <w:r>
        <w:t xml:space="preserve"> </w:t>
      </w:r>
      <w:r>
        <w:t xml:space="preserve">exploration of the challenges and opportunities faced by education administrators in Tashkent, emphasizing their strategic importance in fostering equitable access to quality education.</w:t>
      </w:r>
    </w:p>
    <w:bookmarkEnd w:id="20"/>
    <w:bookmarkStart w:id="21" w:name="X6d69a07a1ded3f0a8d579716cd55e8868a7b147"/>
    <w:p>
      <w:pPr>
        <w:pStyle w:val="Heading2"/>
      </w:pPr>
      <w:r>
        <w:t xml:space="preserve">The Role of Education Administrators in Uzbekistan Tashkent</w:t>
      </w:r>
    </w:p>
    <w:p>
      <w:pPr>
        <w:pStyle w:val="FirstParagraph"/>
      </w:pPr>
      <w:r>
        <w:rPr>
          <w:bCs/>
          <w:b/>
        </w:rPr>
        <w:t xml:space="preserve">Education Administrators</w:t>
      </w:r>
      <w:r>
        <w:t xml:space="preserve"> </w:t>
      </w:r>
      <w:r>
        <w:t xml:space="preserve">in</w:t>
      </w:r>
      <w:r>
        <w:t xml:space="preserve"> </w:t>
      </w:r>
      <w:r>
        <w:rPr>
          <w:bCs/>
          <w:b/>
        </w:rPr>
        <w:t xml:space="preserve">Uzbekistan Tashkent</w:t>
      </w:r>
      <w:r>
        <w:t xml:space="preserve"> </w:t>
      </w:r>
      <w:r>
        <w:t xml:space="preserve">are responsible for overseeing the operational and pedagogical functions of schools, universities, and vocational training centers. Their responsibilities include curriculum development, staff management, budget allocation, stakeholder engagement, and compliance with national educational policies. In Tashkent's dynamic urban environment, administrators must also address disparities in resource distribution between public and private institutions while ensuring alignment with Uzbekistan’s broader goals of modernizing its education system.</w:t>
      </w:r>
    </w:p>
    <w:p>
      <w:pPr>
        <w:pStyle w:val="BodyText"/>
      </w:pPr>
      <w:r>
        <w:t xml:space="preserve">The post-Soviet era brought significant reforms to Uzbekistan's education sector, including decentralization of governance and the introduction of market-oriented policies. In this context,</w:t>
      </w:r>
      <w:r>
        <w:t xml:space="preserve"> </w:t>
      </w:r>
      <w:r>
        <w:rPr>
          <w:bCs/>
          <w:b/>
        </w:rPr>
        <w:t xml:space="preserve">Education Administrators</w:t>
      </w:r>
      <w:r>
        <w:t xml:space="preserve"> </w:t>
      </w:r>
      <w:r>
        <w:t xml:space="preserve">in Tashkent have emerged as key actors in implementing these reforms. They play a critical role in integrating technology into classrooms, promoting multilingual education, and fostering partnerships between educational institutions and industry stakeholders to enhance workforce readiness.</w:t>
      </w:r>
    </w:p>
    <w:bookmarkEnd w:id="21"/>
    <w:bookmarkStart w:id="22" w:name="Xf0e211b2b740114ef3660a6ce1e8b75f6b43c6a"/>
    <w:p>
      <w:pPr>
        <w:pStyle w:val="Heading2"/>
      </w:pPr>
      <w:r>
        <w:t xml:space="preserve">Challenges Facing Education Administrators in Tashkent</w:t>
      </w:r>
    </w:p>
    <w:p>
      <w:pPr>
        <w:pStyle w:val="FirstParagraph"/>
      </w:pPr>
      <w:r>
        <w:rPr>
          <w:bCs/>
          <w:b/>
        </w:rPr>
        <w:t xml:space="preserve">Education Administrators</w:t>
      </w:r>
      <w:r>
        <w:t xml:space="preserve"> </w:t>
      </w:r>
      <w:r>
        <w:t xml:space="preserve">in</w:t>
      </w:r>
      <w:r>
        <w:t xml:space="preserve"> </w:t>
      </w:r>
      <w:r>
        <w:rPr>
          <w:bCs/>
          <w:b/>
        </w:rPr>
        <w:t xml:space="preserve">Uzbekistan Tashkent</w:t>
      </w:r>
      <w:r>
        <w:t xml:space="preserve"> </w:t>
      </w:r>
      <w:r>
        <w:t xml:space="preserve">operate within a complex socio-political environment marked by rapid urbanization, demographic shifts, and evolving economic priorities. Key challenges include:</w:t>
      </w:r>
    </w:p>
    <w:p>
      <w:pPr>
        <w:numPr>
          <w:ilvl w:val="0"/>
          <w:numId w:val="1001"/>
        </w:numPr>
        <w:pStyle w:val="Compact"/>
      </w:pPr>
      <w:r>
        <w:rPr>
          <w:bCs/>
          <w:b/>
        </w:rPr>
        <w:t xml:space="preserve">Bureaucratic Hurdles:</w:t>
      </w:r>
      <w:r>
        <w:t xml:space="preserve"> </w:t>
      </w:r>
      <w:r>
        <w:t xml:space="preserve">Navigating overlapping mandates from local and national authorities often complicates decision-making processes.</w:t>
      </w:r>
    </w:p>
    <w:p>
      <w:pPr>
        <w:numPr>
          <w:ilvl w:val="0"/>
          <w:numId w:val="1001"/>
        </w:numPr>
        <w:pStyle w:val="Compact"/>
      </w:pPr>
      <w:r>
        <w:rPr>
          <w:bCs/>
          <w:b/>
        </w:rPr>
        <w:t xml:space="preserve">Resource Constraints:</w:t>
      </w:r>
      <w:r>
        <w:t xml:space="preserve"> </w:t>
      </w:r>
      <w:r>
        <w:t xml:space="preserve">Despite Tashkent’s status as a major city, disparities in funding between urban and rural schools persist, limiting access to infrastructure, technology, and qualified teachers.</w:t>
      </w:r>
    </w:p>
    <w:p>
      <w:pPr>
        <w:numPr>
          <w:ilvl w:val="0"/>
          <w:numId w:val="1001"/>
        </w:numPr>
        <w:pStyle w:val="Compact"/>
      </w:pPr>
      <w:r>
        <w:rPr>
          <w:bCs/>
          <w:b/>
        </w:rPr>
        <w:t xml:space="preserve">Cultural and Linguistic Diversity:</w:t>
      </w:r>
      <w:r>
        <w:t xml:space="preserve"> </w:t>
      </w:r>
      <w:r>
        <w:t xml:space="preserve">Managing the needs of a diverse student population in Tashkent—ranging from ethnic Uzbek populations to migrants and expatriates—requires culturally responsive policies.</w:t>
      </w:r>
    </w:p>
    <w:p>
      <w:pPr>
        <w:numPr>
          <w:ilvl w:val="0"/>
          <w:numId w:val="1001"/>
        </w:numPr>
        <w:pStyle w:val="Compact"/>
      </w:pPr>
      <w:r>
        <w:rPr>
          <w:bCs/>
          <w:b/>
        </w:rPr>
        <w:t xml:space="preserve">Teacher Training Deficits:</w:t>
      </w:r>
      <w:r>
        <w:t xml:space="preserve"> </w:t>
      </w:r>
      <w:r>
        <w:t xml:space="preserve">While Tashkent hosts prestigious institutions like the National University of Uzbekistan, many teachers in public schools lack access to continuous professional development programs.</w:t>
      </w:r>
    </w:p>
    <w:bookmarkEnd w:id="22"/>
    <w:bookmarkStart w:id="23" w:name="X61b3412cfa0d02a108ed89ebfe33bf918123e4b"/>
    <w:p>
      <w:pPr>
        <w:pStyle w:val="Heading2"/>
      </w:pPr>
      <w:r>
        <w:t xml:space="preserve">Strategies for Effective Administration in Tashkent</w:t>
      </w:r>
    </w:p>
    <w:p>
      <w:pPr>
        <w:pStyle w:val="FirstParagraph"/>
      </w:pPr>
      <w:r>
        <w:t xml:space="preserve">To address these challenges,</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t>
      </w:r>
      <w:r>
        <w:t xml:space="preserve">must adopt innovative strategies grounded in data-driven decision-making and community engagement. Some effective approaches include:</w:t>
      </w:r>
    </w:p>
    <w:p>
      <w:pPr>
        <w:numPr>
          <w:ilvl w:val="0"/>
          <w:numId w:val="1002"/>
        </w:numPr>
        <w:pStyle w:val="Compact"/>
      </w:pPr>
      <w:r>
        <w:rPr>
          <w:bCs/>
          <w:b/>
        </w:rPr>
        <w:t xml:space="preserve">Promoting Digital Transformation:</w:t>
      </w:r>
      <w:r>
        <w:t xml:space="preserve"> </w:t>
      </w:r>
      <w:r>
        <w:t xml:space="preserve">Leveraging e-learning platforms and smart classrooms to bridge the digital divide between urban and rural schools.</w:t>
      </w:r>
    </w:p>
    <w:p>
      <w:pPr>
        <w:numPr>
          <w:ilvl w:val="0"/>
          <w:numId w:val="1002"/>
        </w:numPr>
        <w:pStyle w:val="Compact"/>
      </w:pPr>
      <w:r>
        <w:rPr>
          <w:bCs/>
          <w:b/>
        </w:rPr>
        <w:t xml:space="preserve">Strengthening Public-Private Partnerships:</w:t>
      </w:r>
      <w:r>
        <w:t xml:space="preserve"> </w:t>
      </w:r>
      <w:r>
        <w:t xml:space="preserve">Collaborating with private entities to secure funding for infrastructure projects, scholarships, and vocational training programs.</w:t>
      </w:r>
    </w:p>
    <w:p>
      <w:pPr>
        <w:numPr>
          <w:ilvl w:val="0"/>
          <w:numId w:val="1002"/>
        </w:numPr>
        <w:pStyle w:val="Compact"/>
      </w:pPr>
      <w:r>
        <w:rPr>
          <w:bCs/>
          <w:b/>
        </w:rPr>
        <w:t xml:space="preserve">Culturally Responsive Leadership:</w:t>
      </w:r>
      <w:r>
        <w:t xml:space="preserve"> </w:t>
      </w:r>
      <w:r>
        <w:t xml:space="preserve">Training administrators in inclusive pedagogy and intercultural communication to address the needs of Tashkent’s diverse student population.</w:t>
      </w:r>
    </w:p>
    <w:p>
      <w:pPr>
        <w:numPr>
          <w:ilvl w:val="0"/>
          <w:numId w:val="1002"/>
        </w:numPr>
        <w:pStyle w:val="Compact"/>
      </w:pPr>
      <w:r>
        <w:rPr>
          <w:bCs/>
          <w:b/>
        </w:rPr>
        <w:t xml:space="preserve">Advocacy for Policy Reforms:</w:t>
      </w:r>
      <w:r>
        <w:t xml:space="preserve"> </w:t>
      </w:r>
      <w:r>
        <w:t xml:space="preserve">Engaging with policymakers in Tashkent to advocate for equitable resource distribution, teacher retention incentives, and modernization of curricula.</w:t>
      </w:r>
    </w:p>
    <w:bookmarkEnd w:id="23"/>
    <w:bookmarkStart w:id="24" w:name="Xd543bdcc12fc1153adfd6d75b9bd8b90c5e8b16"/>
    <w:p>
      <w:pPr>
        <w:pStyle w:val="Heading2"/>
      </w:pPr>
      <w:r>
        <w:t xml:space="preserve">Case Study: Tashkent’s Education System and Administrative Innovations</w:t>
      </w:r>
    </w:p>
    <w:p>
      <w:pPr>
        <w:pStyle w:val="FirstParagraph"/>
      </w:pPr>
      <w:r>
        <w:t xml:space="preserve">A case study of</w:t>
      </w:r>
      <w:r>
        <w:t xml:space="preserve"> </w:t>
      </w:r>
      <w:r>
        <w:rPr>
          <w:bCs/>
          <w:b/>
        </w:rPr>
        <w:t xml:space="preserve">Uzbekistan Tashkent</w:t>
      </w:r>
      <w:r>
        <w:t xml:space="preserve">’s recent initiatives highlights the impact of effective education administration. For example, the introduction of the “Smart School” project in 2018 aimed to digitize 50% of Tashkent’s public schools by 2023. This initiative, spearheaded by local education administrators, has led to improved student performance and increased access to digital resources.</w:t>
      </w:r>
    </w:p>
    <w:p>
      <w:pPr>
        <w:pStyle w:val="BodyText"/>
      </w:pPr>
      <w:r>
        <w:t xml:space="preserve">Another notable example is the collaboration between Tashkent’s education department and international organizations like UNESCO to implement teacher training programs focused on STEM (Science, Technology, Engineering, and Mathematics) education. These efforts underscore the critical role of</w:t>
      </w:r>
      <w:r>
        <w:t xml:space="preserve"> </w:t>
      </w:r>
      <w:r>
        <w:rPr>
          <w:bCs/>
          <w:b/>
        </w:rPr>
        <w:t xml:space="preserve">Education Administrators</w:t>
      </w:r>
      <w:r>
        <w:t xml:space="preserve"> </w:t>
      </w:r>
      <w:r>
        <w:t xml:space="preserve">in aligning local priorities with global educational standards.</w:t>
      </w:r>
    </w:p>
    <w:bookmarkEnd w:id="24"/>
    <w:bookmarkStart w:id="25" w:name="Xde074ed46a9a3358e4c7d043cdbbcf5592312bf"/>
    <w:p>
      <w:pPr>
        <w:pStyle w:val="Heading2"/>
      </w:pPr>
      <w:r>
        <w:t xml:space="preserve">Policy Implications for Uzbekistan Tashkent</w:t>
      </w:r>
    </w:p>
    <w:p>
      <w:pPr>
        <w:pStyle w:val="FirstParagraph"/>
      </w:pPr>
      <w:r>
        <w:t xml:space="preserve">The findings of this</w:t>
      </w:r>
      <w:r>
        <w:t xml:space="preserve"> </w:t>
      </w:r>
      <w:r>
        <w:rPr>
          <w:bCs/>
          <w:b/>
        </w:rPr>
        <w:t xml:space="preserve">abstract academic</w:t>
      </w:r>
      <w:r>
        <w:t xml:space="preserve"> </w:t>
      </w:r>
      <w:r>
        <w:t xml:space="preserve">study have significant implications for education policy in</w:t>
      </w:r>
      <w:r>
        <w:t xml:space="preserve"> </w:t>
      </w:r>
      <w:r>
        <w:rPr>
          <w:bCs/>
          <w:b/>
        </w:rPr>
        <w:t xml:space="preserve">Uzbekistan Tashkent</w:t>
      </w:r>
      <w:r>
        <w:t xml:space="preserve">. Policymakers must prioritize:</w:t>
      </w:r>
    </w:p>
    <w:p>
      <w:pPr>
        <w:numPr>
          <w:ilvl w:val="0"/>
          <w:numId w:val="1003"/>
        </w:numPr>
        <w:pStyle w:val="Compact"/>
      </w:pPr>
      <w:r>
        <w:rPr>
          <w:bCs/>
          <w:b/>
        </w:rPr>
        <w:t xml:space="preserve">Increasing Funding for Public Schools:</w:t>
      </w:r>
      <w:r>
        <w:t xml:space="preserve"> </w:t>
      </w:r>
      <w:r>
        <w:t xml:space="preserve">Ensuring that resource allocation reflects the needs of Tashkent’s diverse communities.</w:t>
      </w:r>
    </w:p>
    <w:p>
      <w:pPr>
        <w:numPr>
          <w:ilvl w:val="0"/>
          <w:numId w:val="1003"/>
        </w:numPr>
        <w:pStyle w:val="Compact"/>
      </w:pPr>
      <w:r>
        <w:rPr>
          <w:bCs/>
          <w:b/>
        </w:rPr>
        <w:t xml:space="preserve">Investing in Professional Development:</w:t>
      </w:r>
      <w:r>
        <w:t xml:space="preserve"> </w:t>
      </w:r>
      <w:r>
        <w:t xml:space="preserve">Expanding teacher training programs to address skill gaps and retain qualified educators.</w:t>
      </w:r>
    </w:p>
    <w:p>
      <w:pPr>
        <w:numPr>
          <w:ilvl w:val="0"/>
          <w:numId w:val="1003"/>
        </w:numPr>
        <w:pStyle w:val="Compact"/>
      </w:pPr>
      <w:r>
        <w:rPr>
          <w:bCs/>
          <w:b/>
        </w:rPr>
        <w:t xml:space="preserve">Encouraging Community Participation:</w:t>
      </w:r>
      <w:r>
        <w:t xml:space="preserve"> </w:t>
      </w:r>
      <w:r>
        <w:t xml:space="preserve">Involving parents, students, and local stakeholders in decision-making processes to enhance transparency and accountability.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Education Administrator</w:t>
      </w:r>
      <w:r>
        <w:t xml:space="preserve"> </w:t>
      </w:r>
      <w:r>
        <w:t xml:space="preserve">is a linchpin of progress in</w:t>
      </w:r>
      <w:r>
        <w:t xml:space="preserve"> </w:t>
      </w:r>
      <w:r>
        <w:rPr>
          <w:bCs/>
          <w:b/>
        </w:rPr>
        <w:t xml:space="preserve">Uzbekistan Tashkent</w:t>
      </w:r>
      <w:r>
        <w:t xml:space="preserve">, where the challenges of urbanization, equity, and modernization demand strategic leadership. This</w:t>
      </w:r>
      <w:r>
        <w:t xml:space="preserve"> </w:t>
      </w:r>
      <w:r>
        <w:rPr>
          <w:bCs/>
          <w:b/>
        </w:rPr>
        <w:t xml:space="preserve">abstract academic</w:t>
      </w:r>
      <w:r>
        <w:t xml:space="preserve"> </w:t>
      </w:r>
      <w:r>
        <w:t xml:space="preserve">document underscores the need for systemic reforms to empower education administrators with the tools, resources, and autonomy required to drive transformative change. By addressing structural barriers and fostering collaboration between stakeholders, Tashkent can position itself as a model for inclusive and equitable education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Uzbekistan Tashkent</dc:title>
  <dc:creator/>
  <dc:language>en</dc:language>
  <cp:keywords/>
  <dcterms:created xsi:type="dcterms:W3CDTF">2026-06-01T20:39:56Z</dcterms:created>
  <dcterms:modified xsi:type="dcterms:W3CDTF">2026-06-01T20:39:56Z</dcterms:modified>
</cp:coreProperties>
</file>

<file path=docProps/custom.xml><?xml version="1.0" encoding="utf-8"?>
<Properties xmlns="http://schemas.openxmlformats.org/officeDocument/2006/custom-properties" xmlns:vt="http://schemas.openxmlformats.org/officeDocument/2006/docPropsVTypes"/>
</file>