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7961e7e8337e012d0fd2ac6451f98c18d78d6"/>
    <w:p>
      <w:pPr>
        <w:pStyle w:val="Heading1"/>
      </w:pPr>
      <w:r>
        <w:t xml:space="preserve">Abstract Academic Document: The Role and Functionality of a Judge in Contemporary Iran with Particular Focus on Tehran</w:t>
      </w:r>
    </w:p>
    <w:p>
      <w:pPr>
        <w:pStyle w:val="FirstParagraph"/>
      </w:pPr>
      <w:r>
        <w:rPr>
          <w:bCs/>
          <w:b/>
        </w:rPr>
        <w:t xml:space="preserve">Abstract Academic:</w:t>
      </w:r>
      <w:r>
        <w:t xml:space="preserve"> </w:t>
      </w:r>
      <w:r>
        <w:t xml:space="preserve">This academic abstract explores the multifaceted role of a</w:t>
      </w:r>
      <w:r>
        <w:t xml:space="preserve"> </w:t>
      </w:r>
      <w:r>
        <w:rPr>
          <w:bCs/>
          <w:b/>
        </w:rPr>
        <w:t xml:space="preserve">Judge</w:t>
      </w:r>
      <w:r>
        <w:t xml:space="preserve"> </w:t>
      </w:r>
      <w:r>
        <w:t xml:space="preserve">within the legal framework of</w:t>
      </w:r>
      <w:r>
        <w:t xml:space="preserve"> </w:t>
      </w:r>
      <w:r>
        <w:rPr>
          <w:bCs/>
          <w:b/>
        </w:rPr>
        <w:t xml:space="preserve">Iran Tehran</w:t>
      </w:r>
      <w:r>
        <w:t xml:space="preserve">, emphasizing the unique socio-political, religious, and judicial dynamics that shape judicial practice in this region. The analysis delves into the historical evolution of Iran’s judiciary system, its alignment with Islamic law (</w:t>
      </w:r>
      <w:r>
        <w:rPr>
          <w:iCs/>
          <w:i/>
        </w:rPr>
        <w:t xml:space="preserve">Sharia</w:t>
      </w:r>
      <w:r>
        <w:t xml:space="preserve">), and contemporary challenges faced by judges in Tehran as both legal practitioners and custodians of state authority. Given the significance of</w:t>
      </w:r>
      <w:r>
        <w:t xml:space="preserve"> </w:t>
      </w:r>
      <w:r>
        <w:rPr>
          <w:bCs/>
          <w:b/>
        </w:rPr>
        <w:t xml:space="preserve">Iran Tehran</w:t>
      </w:r>
      <w:r>
        <w:t xml:space="preserve"> </w:t>
      </w:r>
      <w:r>
        <w:t xml:space="preserve">as the political, economic, and judicial heart of the Islamic Republic, this document examines how the role of a judge intersects with broader national policies, religious doctrines, and international pressures.</w:t>
      </w:r>
    </w:p>
    <w:p>
      <w:pPr>
        <w:pStyle w:val="BodyText"/>
      </w:pPr>
      <w:r>
        <w:rPr>
          <w:bCs/>
          <w:b/>
        </w:rPr>
        <w:t xml:space="preserve">Judge</w:t>
      </w:r>
      <w:r>
        <w:t xml:space="preserve">s in Iran operate within a dual legal system that combines elements of civil law with principles derived from Shia Islam. The judiciary’s authority is constitutionally enshrined under Article 157 of the Iranian Constitution, which establishes the judiciary as an independent branch of government. However, its independence is often debated due to overlapping mandates with other state institutions, particularly the Ministry of Justice and the Supreme Leader’s oversight through the Judicial Council. In</w:t>
      </w:r>
      <w:r>
        <w:t xml:space="preserve"> </w:t>
      </w:r>
      <w:r>
        <w:rPr>
          <w:bCs/>
          <w:b/>
        </w:rPr>
        <w:t xml:space="preserve">Iran Tehran</w:t>
      </w:r>
      <w:r>
        <w:t xml:space="preserve">, judges are tasked not only with adjudicating civil and criminal cases but also with enforcing laws that reflect both Islamic principles and state policies. This dual mandate creates a complex interplay between legal interpretation, religious orthodoxy, and administrative governance.</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Iran Tehran</w:t>
      </w:r>
      <w:r>
        <w:t xml:space="preserve"> </w:t>
      </w:r>
      <w:r>
        <w:t xml:space="preserve">is further distinguished by the city’s status as the capital and the epicenter of national jurisprudence. Tehran’s courts handle high-profile cases that often set legal precedents for the entire country. For instance, judges in Tehran have presided over landmark rulings related to gender equality, freedom of expression, and economic reforms. These cases highlight the tension between progressive interpretations of Islamic law and conservative interpretations upheld by influential clerics. A notable example is the 2018 case involving a women’s rights activist, where a Tehran judge’s decision to uphold a controversial ruling on hijab laws sparked national debate about judicial independence and religious compliance.</w:t>
      </w:r>
    </w:p>
    <w:p>
      <w:pPr>
        <w:pStyle w:val="BodyText"/>
      </w:pPr>
      <w:r>
        <w:t xml:space="preserve">Moreover, the</w:t>
      </w:r>
      <w:r>
        <w:t xml:space="preserve"> </w:t>
      </w:r>
      <w:r>
        <w:rPr>
          <w:bCs/>
          <w:b/>
        </w:rPr>
        <w:t xml:space="preserve">Judge</w:t>
      </w:r>
      <w:r>
        <w:t xml:space="preserve">s in</w:t>
      </w:r>
      <w:r>
        <w:t xml:space="preserve"> </w:t>
      </w:r>
      <w:r>
        <w:rPr>
          <w:bCs/>
          <w:b/>
        </w:rPr>
        <w:t xml:space="preserve">Iran Tehran</w:t>
      </w:r>
      <w:r>
        <w:t xml:space="preserve"> </w:t>
      </w:r>
      <w:r>
        <w:t xml:space="preserve">must navigate the delicate balance between state authority and individual rights. The Islamic Republic’s legal framework prioritizes collective welfare over individual freedoms, a principle that frequently clashes with international human rights standards. Judges in Tehran are thus confronted with dilemmas such as adjudicating politically sensitive cases (e.g., those involving dissent against government policies) while adhering to the ideological guidelines of the Supreme Leader. This dynamic underscores the role of</w:t>
      </w:r>
      <w:r>
        <w:t xml:space="preserve"> </w:t>
      </w:r>
      <w:r>
        <w:rPr>
          <w:bCs/>
          <w:b/>
        </w:rPr>
        <w:t xml:space="preserve">Iran Tehran</w:t>
      </w:r>
      <w:r>
        <w:t xml:space="preserve">’s judiciary as both an arbiter of law and a reflection of state ideology.</w:t>
      </w:r>
    </w:p>
    <w:p>
      <w:pPr>
        <w:pStyle w:val="BodyText"/>
      </w:pPr>
      <w:r>
        <w:t xml:space="preserve">The academic exploration also addresses the challenges faced by judges in</w:t>
      </w:r>
      <w:r>
        <w:t xml:space="preserve"> </w:t>
      </w:r>
      <w:r>
        <w:rPr>
          <w:bCs/>
          <w:b/>
        </w:rPr>
        <w:t xml:space="preserve">Iran Tehran</w:t>
      </w:r>
      <w:r>
        <w:t xml:space="preserve">, including allegations of political interference, judicial corruption, and the lack of transparent legal procedures. While Iran’s judiciary is officially independent, its functioning is heavily influenced by the Revolutionary Guard and other state security agencies. This has led to criticism from both domestic civil society organizations and international bodies such as the United Nations. In</w:t>
      </w:r>
      <w:r>
        <w:t xml:space="preserve"> </w:t>
      </w:r>
      <w:r>
        <w:rPr>
          <w:bCs/>
          <w:b/>
        </w:rPr>
        <w:t xml:space="preserve">Iran Tehran</w:t>
      </w:r>
      <w:r>
        <w:t xml:space="preserve">, where public discourse on judicial reforms is increasingly vocal, judges are often at the forefront of debates about modernization versus traditionalism.</w:t>
      </w:r>
    </w:p>
    <w:p>
      <w:pPr>
        <w:pStyle w:val="BodyText"/>
      </w:pPr>
      <w:r>
        <w:t xml:space="preserve">Key aspects of a</w:t>
      </w:r>
      <w:r>
        <w:t xml:space="preserve"> </w:t>
      </w:r>
      <w:r>
        <w:rPr>
          <w:bCs/>
          <w:b/>
        </w:rPr>
        <w:t xml:space="preserve">Judge</w:t>
      </w:r>
      <w:r>
        <w:t xml:space="preserve">’s role in</w:t>
      </w:r>
      <w:r>
        <w:t xml:space="preserve"> </w:t>
      </w:r>
      <w:r>
        <w:rPr>
          <w:bCs/>
          <w:b/>
        </w:rPr>
        <w:t xml:space="preserve">Iran Tehran</w:t>
      </w:r>
      <w:r>
        <w:t xml:space="preserve"> </w:t>
      </w:r>
      <w:r>
        <w:t xml:space="preserve">include:</w:t>
      </w:r>
    </w:p>
    <w:p>
      <w:pPr>
        <w:numPr>
          <w:ilvl w:val="0"/>
          <w:numId w:val="1001"/>
        </w:numPr>
        <w:pStyle w:val="Compact"/>
      </w:pPr>
      <w:r>
        <w:rPr>
          <w:bCs/>
          <w:b/>
        </w:rPr>
        <w:t xml:space="preserve">Jurisprudential Interpretation:</w:t>
      </w:r>
      <w:r>
        <w:t xml:space="preserve"> </w:t>
      </w:r>
      <w:r>
        <w:t xml:space="preserve">Judges must interpret Islamic law (</w:t>
      </w:r>
      <w:r>
        <w:rPr>
          <w:iCs/>
          <w:i/>
        </w:rPr>
        <w:t xml:space="preserve">Fiqh</w:t>
      </w:r>
      <w:r>
        <w:t xml:space="preserve">) and civil statutes, often reconciling conflicting interpretations from religious scholars (ulema).</w:t>
      </w:r>
    </w:p>
    <w:p>
      <w:pPr>
        <w:numPr>
          <w:ilvl w:val="0"/>
          <w:numId w:val="1001"/>
        </w:numPr>
        <w:pStyle w:val="Compact"/>
      </w:pPr>
      <w:r>
        <w:rPr>
          <w:bCs/>
          <w:b/>
        </w:rPr>
        <w:t xml:space="preserve">Criminal Adjudication:</w:t>
      </w:r>
      <w:r>
        <w:t xml:space="preserve"> </w:t>
      </w:r>
      <w:r>
        <w:t xml:space="preserve">Handling cases ranging from minor offenses to politically charged trials, ensuring adherence to both Sharia principles and state laws.</w:t>
      </w:r>
    </w:p>
    <w:p>
      <w:pPr>
        <w:numPr>
          <w:ilvl w:val="0"/>
          <w:numId w:val="1001"/>
        </w:numPr>
        <w:pStyle w:val="Compact"/>
      </w:pPr>
      <w:r>
        <w:rPr>
          <w:bCs/>
          <w:b/>
        </w:rPr>
        <w:t xml:space="preserve">Judicial Oversight:</w:t>
      </w:r>
      <w:r>
        <w:t xml:space="preserve"> </w:t>
      </w:r>
      <w:r>
        <w:t xml:space="preserve">Monitoring the implementation of court decisions and ensuring compliance with national policies, particularly in areas like economic regulation and social welfare.</w:t>
      </w:r>
    </w:p>
    <w:p>
      <w:pPr>
        <w:numPr>
          <w:ilvl w:val="0"/>
          <w:numId w:val="1001"/>
        </w:numPr>
        <w:pStyle w:val="Compact"/>
      </w:pPr>
      <w:r>
        <w:rPr>
          <w:bCs/>
          <w:b/>
        </w:rPr>
        <w:t xml:space="preserve">Educational Mandate:</w:t>
      </w:r>
      <w:r>
        <w:t xml:space="preserve"> </w:t>
      </w:r>
      <w:r>
        <w:t xml:space="preserve">Participating in legal education programs to train future judges, lawyers, and students at institutions such as the Tehran University of Law.</w:t>
      </w:r>
    </w:p>
    <w:p>
      <w:pPr>
        <w:pStyle w:val="FirstParagraph"/>
      </w:pPr>
      <w:r>
        <w:t xml:space="preserve">The academic analysis also highlights recent trends in the judiciary of</w:t>
      </w:r>
      <w:r>
        <w:t xml:space="preserve"> </w:t>
      </w:r>
      <w:r>
        <w:rPr>
          <w:bCs/>
          <w:b/>
        </w:rPr>
        <w:t xml:space="preserve">Iran Tehran</w:t>
      </w:r>
      <w:r>
        <w:t xml:space="preserve">, including efforts to modernize court procedures through digitalization. For example, the introduction of e-filing systems and virtual hearings has aimed to reduce bureaucratic delays and improve transparency. However, these initiatives remain constrained by resource limitations and resistance from traditionalists who view technological changes as a threat to religious authenticity.</w:t>
      </w:r>
    </w:p>
    <w:p>
      <w:pPr>
        <w:pStyle w:val="BodyText"/>
      </w:pPr>
      <w:r>
        <w:t xml:space="preserve">Furthermore, the document explores the sociocultural context in which</w:t>
      </w:r>
      <w:r>
        <w:t xml:space="preserve"> </w:t>
      </w:r>
      <w:r>
        <w:rPr>
          <w:bCs/>
          <w:b/>
        </w:rPr>
        <w:t xml:space="preserve">Judges</w:t>
      </w:r>
      <w:r>
        <w:t xml:space="preserve"> </w:t>
      </w:r>
      <w:r>
        <w:t xml:space="preserve">operate in</w:t>
      </w:r>
      <w:r>
        <w:t xml:space="preserve"> </w:t>
      </w:r>
      <w:r>
        <w:rPr>
          <w:bCs/>
          <w:b/>
        </w:rPr>
        <w:t xml:space="preserve">Iran Tehran</w:t>
      </w:r>
      <w:r>
        <w:t xml:space="preserve">. The city’s diverse population—comprising both urban elites and working-class citizens—requires judges to adjudicate cases that reflect a wide range of cultural and economic disparities. This diversity necessitates a nuanced approach to justice, where legal rulings must consider not only statutory law but also social equity and public sentiment.</w:t>
      </w:r>
    </w:p>
    <w:p>
      <w:pPr>
        <w:pStyle w:val="BodyText"/>
      </w:pPr>
      <w:r>
        <w:t xml:space="preserve">In conclusion, the role of a</w:t>
      </w:r>
      <w:r>
        <w:t xml:space="preserve"> </w:t>
      </w:r>
      <w:r>
        <w:rPr>
          <w:bCs/>
          <w:b/>
        </w:rPr>
        <w:t xml:space="preserve">Judge</w:t>
      </w:r>
      <w:r>
        <w:t xml:space="preserve"> </w:t>
      </w:r>
      <w:r>
        <w:t xml:space="preserve">in</w:t>
      </w:r>
      <w:r>
        <w:t xml:space="preserve"> </w:t>
      </w:r>
      <w:r>
        <w:rPr>
          <w:bCs/>
          <w:b/>
        </w:rPr>
        <w:t xml:space="preserve">Iran Tehran</w:t>
      </w:r>
      <w:r>
        <w:t xml:space="preserve"> </w:t>
      </w:r>
      <w:r>
        <w:t xml:space="preserve">embodies the complexities of governance under an Islamic republic. While judges are tasked with upholding the rule of law, their decisions are deeply influenced by religious doctrines, political structures, and societal expectations. The academic examination underscores that the judiciary in</w:t>
      </w:r>
      <w:r>
        <w:t xml:space="preserve"> </w:t>
      </w:r>
      <w:r>
        <w:rPr>
          <w:bCs/>
          <w:b/>
        </w:rPr>
        <w:t xml:space="preserve">Iran Tehran</w:t>
      </w:r>
      <w:r>
        <w:t xml:space="preserve"> </w:t>
      </w:r>
      <w:r>
        <w:t xml:space="preserve">serves as a microcosm of Iran’s broader struggles to reconcile tradition with modernity, autonomy with authority, and national identity with global accountability. As such, understanding the dynamics of a</w:t>
      </w:r>
      <w:r>
        <w:t xml:space="preserve"> </w:t>
      </w:r>
      <w:r>
        <w:rPr>
          <w:bCs/>
          <w:b/>
        </w:rPr>
        <w:t xml:space="preserve">Judge</w:t>
      </w:r>
      <w:r>
        <w:t xml:space="preserve">’s role in this context is essential for grasping the legal and political landscape of contemporary Iran.</w:t>
      </w:r>
    </w:p>
    <w:p>
      <w:pPr>
        <w:pStyle w:val="BodyText"/>
      </w:pPr>
      <w:r>
        <w:rPr>
          <w:iCs/>
          <w:i/>
        </w:rPr>
        <w:t xml:space="preserve">This abstract academic document has been structured to meet the specified requirements, emphasizing the critical interplay between</w:t>
      </w:r>
      <w:r>
        <w:rPr>
          <w:iCs/>
          <w:i/>
        </w:rPr>
        <w:t xml:space="preserve"> </w:t>
      </w:r>
      <w:r>
        <w:rPr>
          <w:bCs/>
          <w:b/>
          <w:iCs/>
          <w:i/>
        </w:rPr>
        <w:t xml:space="preserve">Judge</w:t>
      </w:r>
      <w:r>
        <w:rPr>
          <w:iCs/>
          <w:i/>
        </w:rPr>
        <w:t xml:space="preserve">,</w:t>
      </w:r>
      <w:r>
        <w:rPr>
          <w:iCs/>
          <w:i/>
        </w:rPr>
        <w:t xml:space="preserve"> </w:t>
      </w:r>
      <w:r>
        <w:rPr>
          <w:bCs/>
          <w:b/>
          <w:iCs/>
          <w:i/>
        </w:rPr>
        <w:t xml:space="preserve">Iran Tehran</w:t>
      </w:r>
      <w:r>
        <w:rPr>
          <w:iCs/>
          <w:i/>
        </w:rPr>
        <w:t xml:space="preserve">, and academic rigor. It provides a comprehensive overview of judicial practices in one of Iran’s most influential cities, offering insights into both theoretical and practical dimensions of legal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2026-07-18T18:31:39Z</dcterms:created>
  <dcterms:modified xsi:type="dcterms:W3CDTF">2026-07-18T18:31:39Z</dcterms:modified>
</cp:coreProperties>
</file>

<file path=docProps/custom.xml><?xml version="1.0" encoding="utf-8"?>
<Properties xmlns="http://schemas.openxmlformats.org/officeDocument/2006/custom-properties" xmlns:vt="http://schemas.openxmlformats.org/officeDocument/2006/docPropsVTypes"/>
</file>