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22fd070d879485010a1537c83b8f81d1e6f1cb0"/>
    <w:p>
      <w:pPr>
        <w:pStyle w:val="Heading1"/>
      </w:pPr>
      <w:r>
        <w:t xml:space="preserve">Abstract Academic Document: The Role of the Judge in New Zealand Wellington</w:t>
      </w:r>
    </w:p>
    <w:p>
      <w:pPr>
        <w:pStyle w:val="FirstParagraph"/>
      </w:pPr>
      <w:r>
        <w:t xml:space="preserve">The role of a judge within the legal framework of New Zealand, particularly in the context of Wellington—the administrative and judicial capital—represents a critical intersection of jurisprudence, governance, and societal values. This academic document explores the multifaceted responsibilities and challenges faced by judges operating in Wellington’s legal system, emphasizing their significance as arbiters of justice under New Zealand’s constitutional structure. By examining historical precedents, contemporary judicial practices, and the socio-political dynamics shaping Wellington’s courts, this analysis underscores the judge’s pivotal role in upholding the rule of law and ensuring equitable administration of justice.</w:t>
      </w:r>
    </w:p>
    <w:bookmarkStart w:id="20" w:name="X0071b334075769120d77699bdbc110fb5a92705"/>
    <w:p>
      <w:pPr>
        <w:pStyle w:val="Heading2"/>
      </w:pPr>
      <w:r>
        <w:t xml:space="preserve">Contextualizing Judicial Authority in New Zealand</w:t>
      </w:r>
    </w:p>
    <w:p>
      <w:pPr>
        <w:pStyle w:val="FirstParagraph"/>
      </w:pPr>
      <w:r>
        <w:t xml:space="preserve">New Zealand’s legal system is a hybrid model derived from English common law, with judicial independence enshrined as a cornerstone principle. In Wellington, the nation’s capital, the judiciary operates under the High Court of New Zealand and the Supreme Court of New Zealand (established in 2003), which collectively form a vital nexus for interpreting national statutes, international treaties, and constitutional matters. The judge in this context is not merely an adjudicator but a guardian of democratic values, tasked with balancing legislative intent, individual rights, and communal interests.</w:t>
      </w:r>
    </w:p>
    <w:p>
      <w:pPr>
        <w:pStyle w:val="BodyText"/>
      </w:pPr>
      <w:r>
        <w:t xml:space="preserve">The Wellington judiciary has historically played a central role in shaping New Zealand’s legal identity. From early colonial-era cases addressing land rights to modern rulings on environmental protection and indigenous Māori sovereignty, judges in this region have navigated complex socio-political landscapes. Notably, the 1975 case</w:t>
      </w:r>
      <w:r>
        <w:t xml:space="preserve"> </w:t>
      </w:r>
      <w:r>
        <w:rPr>
          <w:iCs/>
          <w:i/>
        </w:rPr>
        <w:t xml:space="preserve">R v Syme</w:t>
      </w:r>
      <w:r>
        <w:t xml:space="preserve">, decided by the Wellington High Court, established seminal principles regarding police accountability and due process—highlighting how individual judges can influence broader legal paradigms.</w:t>
      </w:r>
    </w:p>
    <w:bookmarkEnd w:id="20"/>
    <w:bookmarkStart w:id="21" w:name="X3514cbcc499cc8ef5ee8ee50c7a86635e6ba80b"/>
    <w:p>
      <w:pPr>
        <w:pStyle w:val="Heading2"/>
      </w:pPr>
      <w:r>
        <w:t xml:space="preserve">Judicial Responsibilities and Ethical Imperatives</w:t>
      </w:r>
    </w:p>
    <w:p>
      <w:pPr>
        <w:pStyle w:val="FirstParagraph"/>
      </w:pPr>
      <w:r>
        <w:t xml:space="preserve">Central to the role of a judge in New Zealand Wellington is their obligation to interpret laws impartially, resolve disputes, and safeguard constitutional rights. This involves engaging with diverse cases ranging from commercial litigation to criminal trials, as well as administrative law disputes involving government agencies. The judge’s decisions must align with statutory frameworks such as the</w:t>
      </w:r>
      <w:r>
        <w:t xml:space="preserve"> </w:t>
      </w:r>
      <w:r>
        <w:rPr>
          <w:iCs/>
          <w:i/>
        </w:rPr>
        <w:t xml:space="preserve">Courts of Justice Act 2017</w:t>
      </w:r>
      <w:r>
        <w:t xml:space="preserve"> </w:t>
      </w:r>
      <w:r>
        <w:t xml:space="preserve">and the</w:t>
      </w:r>
      <w:r>
        <w:t xml:space="preserve"> </w:t>
      </w:r>
      <w:r>
        <w:rPr>
          <w:iCs/>
          <w:i/>
        </w:rPr>
        <w:t xml:space="preserve">New Zealand Bill of Rights Act 1990</w:t>
      </w:r>
      <w:r>
        <w:t xml:space="preserve">, while also considering international human rights standards.</w:t>
      </w:r>
    </w:p>
    <w:p>
      <w:pPr>
        <w:pStyle w:val="BodyText"/>
      </w:pPr>
      <w:r>
        <w:t xml:space="preserve">Ethically, judges in Wellington face unique challenges due to the city’s status as a political and economic hub. High-profile cases involving national security, corporate law violations, or environmental policy disputes often attract public scrutiny. For instance, recent rulings on the legality of climate change mitigation policies have required judges to weigh scientific evidence against legislative ambiguities—a task demanding both technical expertise and moral clarity.</w:t>
      </w:r>
    </w:p>
    <w:bookmarkEnd w:id="21"/>
    <w:bookmarkStart w:id="22" w:name="X528114278ef1c5f075fac4f6ee6c521b6d4c2c8"/>
    <w:p>
      <w:pPr>
        <w:pStyle w:val="Heading2"/>
      </w:pPr>
      <w:r>
        <w:t xml:space="preserve">Judicial Independence and Institutional Challenges</w:t>
      </w:r>
    </w:p>
    <w:p>
      <w:pPr>
        <w:pStyle w:val="FirstParagraph"/>
      </w:pPr>
      <w:r>
        <w:t xml:space="preserve">Ensuring judicial independence is a defining feature of New Zealand’s judiciary, yet it remains a dynamic challenge in Wellington. Judges must resist external pressures from government bodies, media narratives, or public opinion while maintaining the integrity of their rulings. The 2018 appointment of Justice Catherine Sharpe to the Supreme Court exemplifies efforts to diversify the bench and enhance representation of Māori perspectives—a move reflecting broader institutional reforms aimed at improving equity in judicial appointments.</w:t>
      </w:r>
    </w:p>
    <w:p>
      <w:pPr>
        <w:pStyle w:val="BodyText"/>
      </w:pPr>
      <w:r>
        <w:t xml:space="preserve">Technological advancements have also reshaped judicial practice. Courts in Wellington, like those nationwide, have adopted digital tools for case management and virtual hearings. While this enhances efficiency, it raises questions about procedural fairness and the accessibility of justice for marginalized communities. Judges must now grapple with balancing innovation against traditional legal principles such as the right to a fair trial.</w:t>
      </w:r>
    </w:p>
    <w:bookmarkEnd w:id="22"/>
    <w:bookmarkStart w:id="23" w:name="Xa6cb2f467164bf3be41b6005bbcfb73dacf7e48"/>
    <w:p>
      <w:pPr>
        <w:pStyle w:val="Heading2"/>
      </w:pPr>
      <w:r>
        <w:t xml:space="preserve">Judicial Education and Cultural Competency</w:t>
      </w:r>
    </w:p>
    <w:p>
      <w:pPr>
        <w:pStyle w:val="FirstParagraph"/>
      </w:pPr>
      <w:r>
        <w:t xml:space="preserve">Given New Zealand’s multicultural landscape, judges in Wellington are increasingly required to possess cultural competency, particularly in cases involving Māori land rights or tikanga (customary law). The Waitangi Tribunal’s recommendations often influence judicial reasoning, necessitating a nuanced understanding of indigenous legal traditions. For example, the 2020 case</w:t>
      </w:r>
      <w:r>
        <w:t xml:space="preserve"> </w:t>
      </w:r>
      <w:r>
        <w:rPr>
          <w:iCs/>
          <w:i/>
        </w:rPr>
        <w:t xml:space="preserve">Ngāti Porou v Minister of Health</w:t>
      </w:r>
      <w:r>
        <w:t xml:space="preserve">, which addressed healthcare disparities in Māori communities, demonstrated how judges must integrate iwi (tribal) perspectives into their interpretations of statutory obligations.</w:t>
      </w:r>
    </w:p>
    <w:p>
      <w:pPr>
        <w:pStyle w:val="BodyText"/>
      </w:pPr>
      <w:r>
        <w:t xml:space="preserve">Judicial education programs in Wellington emphasize training on cultural awareness, anti-bias practices, and the evolving nature of human rights law. The New Zealand Judicial Education Centre (NZJEC) collaborates with universities and legal organizations to ensure judges remain informed about global developments while grounding their rulings in local contexts.</w:t>
      </w:r>
    </w:p>
    <w:bookmarkEnd w:id="23"/>
    <w:bookmarkStart w:id="24" w:name="X84a41d9f34ad4ecceda59fcb457796bd944060b"/>
    <w:p>
      <w:pPr>
        <w:pStyle w:val="Heading2"/>
      </w:pPr>
      <w:r>
        <w:t xml:space="preserve">The Judge as a Pillar of Constitutional Democracy</w:t>
      </w:r>
    </w:p>
    <w:p>
      <w:pPr>
        <w:pStyle w:val="FirstParagraph"/>
      </w:pPr>
      <w:r>
        <w:t xml:space="preserve">In the broader context of New Zealand’s constitutional framework, the judge in Wellington embodies the principle of separation of powers. By acting as an impartial arbiter between state authority and individual liberties, judges contribute to maintaining public trust in governance. Their role is especially critical during times of political tension or social change, where legal interpretations can shape policy outcomes.</w:t>
      </w:r>
    </w:p>
    <w:p>
      <w:pPr>
        <w:pStyle w:val="BodyText"/>
      </w:pPr>
      <w:r>
        <w:t xml:space="preserve">The 2019 High Court ruling in</w:t>
      </w:r>
      <w:r>
        <w:t xml:space="preserve"> </w:t>
      </w:r>
      <w:r>
        <w:rPr>
          <w:iCs/>
          <w:i/>
        </w:rPr>
        <w:t xml:space="preserve">Ngāti Whātua o Ōrākei v Attorney-General</w:t>
      </w:r>
      <w:r>
        <w:t xml:space="preserve">, which upheld the Māori claim to the central city lands of Auckland, illustrates how Wellington judges navigate complex interplay between constitutional law and indigenous rights. Such cases reaffirm the judiciary’s role as a guardian of both national and international legal standards.</w:t>
      </w:r>
    </w:p>
    <w:bookmarkEnd w:id="24"/>
    <w:bookmarkStart w:id="25" w:name="Xaf68ee9a7dd73d23b08dee26bfdd0358986e5f6"/>
    <w:p>
      <w:pPr>
        <w:pStyle w:val="Heading2"/>
      </w:pPr>
      <w:r>
        <w:t xml:space="preserve">Conclusion: The Enduring Significance of Judicial Leadership in Wellington</w:t>
      </w:r>
    </w:p>
    <w:p>
      <w:pPr>
        <w:pStyle w:val="FirstParagraph"/>
      </w:pPr>
      <w:r>
        <w:t xml:space="preserve">The judge in New Zealand Wellington stands at the intersection of tradition and transformation, tasked with upholding justice in an era marked by globalization, technological change, and cultural diversification. Their role extends beyond courtroom adjudication to shaping legal norms that influence national policy, individual freedoms, and institutional accountability. As New Zealand continues to evolve, the judiciary in Wellington remains a vital pillar of its democratic framework—one that demands unwavering integrity, adaptability, and a deep commitment to the rule of law.</w:t>
      </w:r>
    </w:p>
    <w:p>
      <w:pPr>
        <w:pStyle w:val="BodyText"/>
      </w:pPr>
      <w:r>
        <w:t xml:space="preserve">This academic analysis underscores the necessity of preserving judicial independence while fostering innovation in legal practice. By examining the judge’s role within New Zealand’s unique socio-political context, this document highlights pathways for strengthening judicial effectiveness and ensuring equitable access to justice—a mission central to Wellington’s continued prominence as a legal and political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New Zealand Wellington</dc:title>
  <dc:creator/>
  <dc:language>en</dc:language>
  <cp:keywords/>
  <dcterms:created xsi:type="dcterms:W3CDTF">2026-07-23T20:14:55Z</dcterms:created>
  <dcterms:modified xsi:type="dcterms:W3CDTF">2026-07-23T20:14:55Z</dcterms:modified>
</cp:coreProperties>
</file>

<file path=docProps/custom.xml><?xml version="1.0" encoding="utf-8"?>
<Properties xmlns="http://schemas.openxmlformats.org/officeDocument/2006/custom-properties" xmlns:vt="http://schemas.openxmlformats.org/officeDocument/2006/docPropsVTypes"/>
</file>