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dd893771621435c0985d317ac85d3d123349b1"/>
    <w:p>
      <w:pPr>
        <w:pStyle w:val="Heading1"/>
      </w:pPr>
      <w:r>
        <w:t xml:space="preserve">Abstract Academic Document: The Role and Challenges of a Lawyer in Germany, Berlin</w:t>
      </w:r>
    </w:p>
    <w:p>
      <w:pPr>
        <w:pStyle w:val="FirstParagraph"/>
      </w:pPr>
      <w:r>
        <w:t xml:space="preserve">This academic abstract explores the multifaceted role of a lawyer operating within the legal framework of Germany, with particular emphasis on the city of Berlin. As a key hub for political, economic, and cultural activity in Europe, Berlin presents unique opportunities and challenges for legal professionals. The document analyzes the structural requirements for becoming a licensed lawyer in Germany, evaluates the professional responsibilities tied to practicing law in Berlin’s diverse socio-political environment, and highlights the intersection of national legal systems with European Union (EU) regulations. It further examines how German civil law principles influence the practice of law in Berlin and underscores the importance of cultural competence, ethical standards, and interdisciplinary collaboration for modern legal practitioners.</w:t>
      </w:r>
    </w:p>
    <w:bookmarkStart w:id="20" w:name="X0df268d1e8e819d562070be154563cc11cf9c67"/>
    <w:p>
      <w:pPr>
        <w:pStyle w:val="Heading2"/>
      </w:pPr>
      <w:r>
        <w:t xml:space="preserve">1. Introduction: The Legal Landscape in Germany</w:t>
      </w:r>
    </w:p>
    <w:p>
      <w:pPr>
        <w:pStyle w:val="FirstParagraph"/>
      </w:pPr>
      <w:r>
        <w:t xml:space="preserve">The legal system in Germany is rooted in civil law traditions, characterized by comprehensive statutory codes and a strong emphasis on judicial interpretation rather than precedent-based rulings. For a lawyer operating within this framework, understanding the</w:t>
      </w:r>
      <w:r>
        <w:t xml:space="preserve"> </w:t>
      </w:r>
      <w:r>
        <w:rPr>
          <w:bCs/>
          <w:b/>
        </w:rPr>
        <w:t xml:space="preserve">German Civil Code (BGB)</w:t>
      </w:r>
      <w:r>
        <w:t xml:space="preserve">, the</w:t>
      </w:r>
      <w:r>
        <w:t xml:space="preserve"> </w:t>
      </w:r>
      <w:r>
        <w:rPr>
          <w:bCs/>
          <w:b/>
        </w:rPr>
        <w:t xml:space="preserve">Criminal Code (StGB)</w:t>
      </w:r>
      <w:r>
        <w:t xml:space="preserve">, and administrative law is essential. In Berlin, these legal principles are further complicated by the city’s status as a federal capital, where national and regional legal jurisdictions overlap. The abstract investigates how these complexities shape the daily practice of law in Berlin, particularly for lawyers specializing in areas such as corporate law, immigration litigation, EU compliance, or human rights advocacy.</w:t>
      </w:r>
    </w:p>
    <w:bookmarkEnd w:id="20"/>
    <w:bookmarkStart w:id="21" w:name="X73eda3f60fdb9b83f73f9f456d9ad06852b4b82"/>
    <w:p>
      <w:pPr>
        <w:pStyle w:val="Heading2"/>
      </w:pPr>
      <w:r>
        <w:t xml:space="preserve">2. Qualifications and Professional Requirements for Lawyers in Germany</w:t>
      </w:r>
    </w:p>
    <w:p>
      <w:pPr>
        <w:pStyle w:val="FirstParagraph"/>
      </w:pPr>
      <w:r>
        <w:t xml:space="preserve">Becoming a lawyer in Germany requires rigorous academic and practical training. Aspiring legal professionals must complete a three-year undergraduate degree (Staatsexamen) followed by a two-year traineeship (Referendariat) under the supervision of experienced lawyers or judges. The abstract emphasizes the importance of this dual system, which ensures that lawyers are not only theoretically proficient but also adept at navigating Germany’s intricate procedural rules. In Berlin, where legal education is offered by prestigious institutions such as</w:t>
      </w:r>
      <w:r>
        <w:t xml:space="preserve"> </w:t>
      </w:r>
      <w:r>
        <w:rPr>
          <w:bCs/>
          <w:b/>
        </w:rPr>
        <w:t xml:space="preserve">Humboldt University</w:t>
      </w:r>
      <w:r>
        <w:t xml:space="preserve"> </w:t>
      </w:r>
      <w:r>
        <w:t xml:space="preserve">and</w:t>
      </w:r>
      <w:r>
        <w:t xml:space="preserve"> </w:t>
      </w:r>
      <w:r>
        <w:rPr>
          <w:bCs/>
          <w:b/>
        </w:rPr>
        <w:t xml:space="preserve">Charité Medical University</w:t>
      </w:r>
      <w:r>
        <w:t xml:space="preserve">, the training often includes specialized modules on EU law, international trade, and comparative legal systems. This academic foundation equips lawyers to address cross-border disputes that frequently arise in Berlin’s cosmopolitan environment.</w:t>
      </w:r>
    </w:p>
    <w:bookmarkEnd w:id="21"/>
    <w:bookmarkStart w:id="22" w:name="Xa743b63c8776e0655e7a34ec7bc98439e8b63fd"/>
    <w:p>
      <w:pPr>
        <w:pStyle w:val="Heading2"/>
      </w:pPr>
      <w:r>
        <w:t xml:space="preserve">3. The Unique Context of Berlin: A Global Legal Nexus</w:t>
      </w:r>
    </w:p>
    <w:p>
      <w:pPr>
        <w:pStyle w:val="FirstParagraph"/>
      </w:pPr>
      <w:r>
        <w:t xml:space="preserve">Berlin’s status as a political and cultural epicenter within Germany, combined with its role as a major EU city, positions it as a unique legal jurisdiction. The abstract delves into how lawyers in Berlin must navigate the interplay between federal legislation and regional policies. For instance, housing laws in Berlin—shaped by both national mandates and local initiatives—are often at the forefront of legal debates due to the city’s housing crisis. Similarly, immigration lawyers in Berlin face complex challenges related to asylum seekers, EU border regulations, and integration policies. The document also highlights the role of</w:t>
      </w:r>
      <w:r>
        <w:t xml:space="preserve"> </w:t>
      </w:r>
      <w:r>
        <w:rPr>
          <w:bCs/>
          <w:b/>
        </w:rPr>
        <w:t xml:space="preserve">Berlin’s Rechtsanwaltskammer</w:t>
      </w:r>
      <w:r>
        <w:t xml:space="preserve"> </w:t>
      </w:r>
      <w:r>
        <w:t xml:space="preserve">(Bar Association) in regulating professional conduct and ensuring adherence to ethical standards.</w:t>
      </w:r>
    </w:p>
    <w:bookmarkEnd w:id="22"/>
    <w:bookmarkStart w:id="23" w:name="Xa6230cbb69b6fd0e25982fdeeb362c19bea6c1e"/>
    <w:p>
      <w:pPr>
        <w:pStyle w:val="Heading2"/>
      </w:pPr>
      <w:r>
        <w:t xml:space="preserve">4. Cross-Border Legal Challenges and Opportunities</w:t>
      </w:r>
    </w:p>
    <w:p>
      <w:pPr>
        <w:pStyle w:val="FirstParagraph"/>
      </w:pPr>
      <w:r>
        <w:t xml:space="preserve">The abstract addresses the increasing demand for lawyers in Berlin who can handle transnational cases, including corporate litigation involving EU member states, international arbitration disputes, and intellectual property conflicts. With Berlin hosting numerous multinational corporations, startups, and research institutions (such as those affiliated with the</w:t>
      </w:r>
      <w:r>
        <w:t xml:space="preserve"> </w:t>
      </w:r>
      <w:r>
        <w:rPr>
          <w:bCs/>
          <w:b/>
        </w:rPr>
        <w:t xml:space="preserve">Max Planck Society</w:t>
      </w:r>
      <w:r>
        <w:t xml:space="preserve">), legal professionals must often mediate between German law and international frameworks like the</w:t>
      </w:r>
      <w:r>
        <w:t xml:space="preserve"> </w:t>
      </w:r>
      <w:r>
        <w:rPr>
          <w:bCs/>
          <w:b/>
        </w:rPr>
        <w:t xml:space="preserve">European Convention on Human Rights (ECHR)</w:t>
      </w:r>
      <w:r>
        <w:t xml:space="preserve">. The document further explores how lawyers in Berlin leverage their expertise in EU regulations to advise clients on compliance, data protection, and cross-border trade agreements.</w:t>
      </w:r>
    </w:p>
    <w:bookmarkEnd w:id="23"/>
    <w:bookmarkStart w:id="24" w:name="X85246106af0d76dfd9a61e5fc5b146be15825c9"/>
    <w:p>
      <w:pPr>
        <w:pStyle w:val="Heading2"/>
      </w:pPr>
      <w:r>
        <w:t xml:space="preserve">5. Ethical Considerations and Professional Responsibilities</w:t>
      </w:r>
    </w:p>
    <w:p>
      <w:pPr>
        <w:pStyle w:val="FirstParagraph"/>
      </w:pPr>
      <w:r>
        <w:t xml:space="preserve">Ethical conduct is a cornerstone of the German legal profession. The abstract examines the responsibilities of lawyers in Berlin to uphold principles such as confidentiality, client autonomy, and public interest advocacy. It references case studies where Berlin-based lawyers have navigated ethical dilemmas in high-profile cases, including environmental litigation or digital privacy controversies. Additionally, the role of pro bono work in addressing social inequalities is analyzed, with examples from Berlin’s</w:t>
      </w:r>
      <w:r>
        <w:t xml:space="preserve"> </w:t>
      </w:r>
      <w:r>
        <w:rPr>
          <w:bCs/>
          <w:b/>
        </w:rPr>
        <w:t xml:space="preserve">Legal Aid Offices (Rechtsberatungsstellen)</w:t>
      </w:r>
      <w:r>
        <w:t xml:space="preserve">, which provide free legal services to marginalized communities.</w:t>
      </w:r>
    </w:p>
    <w:bookmarkEnd w:id="24"/>
    <w:bookmarkStart w:id="25" w:name="cultural-competence-and-multilingualism"/>
    <w:p>
      <w:pPr>
        <w:pStyle w:val="Heading2"/>
      </w:pPr>
      <w:r>
        <w:t xml:space="preserve">6. Cultural Competence and Multilingualism</w:t>
      </w:r>
    </w:p>
    <w:p>
      <w:pPr>
        <w:pStyle w:val="FirstParagraph"/>
      </w:pPr>
      <w:r>
        <w:t xml:space="preserve">Berlin’s demographic diversity necessitates that lawyers possess cultural competence and language skills to serve a clientele representing over 190 nationalities. The abstract highlights the importance of fluency in languages such as English, French, Arabic, or Russian for effective communication with non-German-speaking clients. It also discusses how legal education in Berlin increasingly incorporates courses on intercultural law and global human rights frameworks.</w:t>
      </w:r>
    </w:p>
    <w:bookmarkEnd w:id="25"/>
    <w:bookmarkStart w:id="26" w:name="X1a97da5e94adca087536febd4519e76d25673f0"/>
    <w:p>
      <w:pPr>
        <w:pStyle w:val="Heading2"/>
      </w:pPr>
      <w:r>
        <w:t xml:space="preserve">7. Conclusion: The Lawyer’s Role in Shaping Berlin’s Legal Future</w:t>
      </w:r>
    </w:p>
    <w:p>
      <w:pPr>
        <w:pStyle w:val="FirstParagraph"/>
      </w:pPr>
      <w:r>
        <w:t xml:space="preserve">In conclusion, this academic abstract underscores the critical role of a lawyer in Germany, particularly within the dynamic context of Berlin. By synthesizing legal theory with practical application, lawyers in Berlin contribute to resolving complex disputes while upholding the principles of justice and equity. The document argues that future legal education and professional development must continue to adapt to emerging challenges such as digital transformation, climate change litigation, and post-pandemic regulatory shifts. For students and practitioners alike, understanding the interplay between national law, EU directives, and Berlin’s unique socio-political landscape is essential for excelling in the legal profession in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Germany Berlin</dc:title>
  <dc:creator/>
  <dc:language>en</dc:language>
  <cp:keywords/>
  <dcterms:created xsi:type="dcterms:W3CDTF">2026-07-21T15:49:06Z</dcterms:created>
  <dcterms:modified xsi:type="dcterms:W3CDTF">2026-07-21T15:49:06Z</dcterms:modified>
</cp:coreProperties>
</file>

<file path=docProps/custom.xml><?xml version="1.0" encoding="utf-8"?>
<Properties xmlns="http://schemas.openxmlformats.org/officeDocument/2006/custom-properties" xmlns:vt="http://schemas.openxmlformats.org/officeDocument/2006/docPropsVTypes"/>
</file>