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86a8337b6659012bb496517358255acb72e4d3a"/>
    <w:p>
      <w:pPr>
        <w:pStyle w:val="Heading1"/>
      </w:pPr>
      <w:r>
        <w:t xml:space="preserve">Abstract Academic Document on the Role and Challenges of Lawyers in Uganda Kampala</w:t>
      </w:r>
    </w:p>
    <w:p>
      <w:pPr>
        <w:pStyle w:val="FirstParagraph"/>
      </w:pPr>
      <w:r>
        <w:t xml:space="preserve">This academic abstract explores the multifaceted role of lawyers operating within the legal framework of Uganda, with a specific focus on their practice and challenges in Kampala, the capital city. The study is contextualized within Uganda’s evolving legal system, which is shaped by both common law traditions and indigenous practices. As one of Africa’s most populous countries and a hub for regional economic activity, Kampala presents unique opportunities and obstacles for legal professionals. The paper examines how lawyers in this urban center navigate the complexities of Ugandan law while addressing the socio-economic disparities that influence access to justice across the nation.</w:t>
      </w:r>
    </w:p>
    <w:p>
      <w:pPr>
        <w:pStyle w:val="BodyText"/>
      </w:pPr>
      <w:r>
        <w:t xml:space="preserve">The abstract begins by analyzing Uganda’s legal structure, which is grounded in a Constitution adopted in 1995 and a judiciary system that includes high courts, district courts, and specialized tribunals. It emphasizes the critical role of lawyers as advocates, advisors, and guardians of legal rights for individuals and institutions. In Kampala—a city characterized by rapid urbanization, political dynamism, and economic growth—lawyers are frequently engaged in high-stakes litigation involving commercial disputes, land tenure conflicts (a persistent issue in Uganda), human rights cases, and corporate law. The study highlights the significance of Kampala as a legal epicenter where national and international legal standards intersect.</w:t>
      </w:r>
    </w:p>
    <w:p>
      <w:pPr>
        <w:pStyle w:val="BodyText"/>
      </w:pPr>
      <w:r>
        <w:t xml:space="preserve">A central theme of this academic abstract is the disparity in access to quality legal representation across Uganda’s regions. While Kampala hosts numerous law firms, chambers of advocates, and paralegal organizations, rural areas often lack adequately trained lawyers or affordable services. This imbalance raises questions about the equitable delivery of justice and the responsibilities of Kampala-based lawyers to address systemic inequalities. The paper argues that Ugandan lawyers in Kampala must balance their professional obligations with ethical commitments to promote broader legal awareness and inclusivity.</w:t>
      </w:r>
    </w:p>
    <w:p>
      <w:pPr>
        <w:pStyle w:val="BodyText"/>
      </w:pPr>
      <w:r>
        <w:t xml:space="preserve">Challenges faced by lawyers in Kampala are multifaceted. These include the backlog of cases in Ugandan courts, which is exacerbated by underfunded judicial institutions and limited infrastructure. Additionally, lawyers often contend with corruption within the legal system, a phenomenon that undermines public trust in judicial outcomes. In Kampala’s urban environment, where high-profile cases attract media attention and political scrutiny, lawyers must navigate ethical dilemmas while ensuring client confidentiality and procedural fairness.</w:t>
      </w:r>
    </w:p>
    <w:p>
      <w:pPr>
        <w:pStyle w:val="BodyText"/>
      </w:pPr>
      <w:r>
        <w:t xml:space="preserve">The abstract also investigates the impact of technological advancements on legal practice in Kampala. The proliferation of digital tools—such as e-filing systems, online legal research platforms, and virtual consultations—has begun to transform how lawyers operate. However, these innovations are unevenly adopted, with smaller firms and paralegals in marginalized communities often lacking resources to leverage technology effectively. This digital divide further widens the gap between urban and rural legal services.</w:t>
      </w:r>
    </w:p>
    <w:p>
      <w:pPr>
        <w:pStyle w:val="BodyText"/>
      </w:pPr>
      <w:r>
        <w:t xml:space="preserve">Another critical aspect of the study is the role of lawyers in shaping Ugandan policy through litigation and advocacy. In Kampala, legal professionals frequently engage with human rights organizations, non-governmental organizations (NGOs), and international bodies to address issues such as gender-based violence, environmental degradation, and corporate accountability. The paper underscores how lawyers in this city serve as intermediaries between local communities and national/international legal frameworks.</w:t>
      </w:r>
    </w:p>
    <w:p>
      <w:pPr>
        <w:pStyle w:val="BodyText"/>
      </w:pPr>
      <w:r>
        <w:t xml:space="preserve">The academic abstract concludes by emphasizing the need for reforms to enhance the capacity of Uganda’s legal profession, particularly in Kampala. Recommendations include increased funding for legal education, stricter enforcement of anti-corruption measures within the judiciary, and initiatives to promote pro bono work among lawyers. By addressing these challenges, Ugandan lawyers in Kampala can play a pivotal role in advancing justice for all citizens, regardless of geographic or socio-economic background.</w:t>
      </w:r>
    </w:p>
    <w:p>
      <w:pPr>
        <w:pStyle w:val="BodyText"/>
      </w:pPr>
      <w:r>
        <w:t xml:space="preserve">In summary, this abstract provides an academic overview of the lawyer’s profession within Uganda’s legal landscape, with a focused examination of their work in Kampala. It highlights both the contributions and constraints faced by legal practitioners in this dynamic city, while calling for systemic improvements to ensure equitable access to justice across the nation.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Uganda Kampala</dc:title>
  <dc:creator/>
  <dc:language>en</dc:language>
  <cp:keywords/>
  <dcterms:created xsi:type="dcterms:W3CDTF">2026-09-26T18:05:55Z</dcterms:created>
  <dcterms:modified xsi:type="dcterms:W3CDTF">2026-09-26T18:05:55Z</dcterms:modified>
</cp:coreProperties>
</file>

<file path=docProps/custom.xml><?xml version="1.0" encoding="utf-8"?>
<Properties xmlns="http://schemas.openxmlformats.org/officeDocument/2006/custom-properties" xmlns:vt="http://schemas.openxmlformats.org/officeDocument/2006/docPropsVTypes"/>
</file>