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94d15c66d46c6765dbd0d9c2e0fb01b8ce0a53b"/>
    <w:p>
      <w:pPr>
        <w:pStyle w:val="Heading1"/>
      </w:pPr>
      <w:r>
        <w:t xml:space="preserve">Abstract Academic Document: The Role of Mason in the Educational and Cultural Landscape of Kuwait Kuwait City</w:t>
      </w:r>
    </w:p>
    <w:p>
      <w:pPr>
        <w:pStyle w:val="FirstParagraph"/>
      </w:pPr>
      <w:r>
        <w:rPr>
          <w:bCs/>
          <w:b/>
        </w:rPr>
        <w:t xml:space="preserve">Keywords:</w:t>
      </w:r>
      <w:r>
        <w:t xml:space="preserve"> </w:t>
      </w:r>
      <w:r>
        <w:t xml:space="preserve">Abstract academic, Mason, Kuwait Kuwait City.</w:t>
      </w:r>
    </w:p>
    <w:p>
      <w:pPr>
        <w:pStyle w:val="BodyText"/>
      </w:pPr>
      <w:r>
        <w:t xml:space="preserve">The purpose of this abstract academic document is to explore the multifaceted contributions of</w:t>
      </w:r>
      <w:r>
        <w:t xml:space="preserve"> </w:t>
      </w:r>
      <w:r>
        <w:rPr>
          <w:iCs/>
          <w:i/>
        </w:rPr>
        <w:t xml:space="preserve">Mason</w:t>
      </w:r>
      <w:r>
        <w:t xml:space="preserve"> </w:t>
      </w:r>
      <w:r>
        <w:t xml:space="preserve">within the context of</w:t>
      </w:r>
      <w:r>
        <w:t xml:space="preserve"> </w:t>
      </w:r>
      <w:r>
        <w:rPr>
          <w:iCs/>
          <w:i/>
        </w:rPr>
        <w:t xml:space="preserve">Kuwait Kuwait City</w:t>
      </w:r>
      <w:r>
        <w:t xml:space="preserve">, focusing on its relevance to educational frameworks, cultural preservation, and socio-economic development. This document synthesizes existing research, theoretical perspectives, and practical applications to highlight how Mason’s principles or methodologies have been adapted to meet the unique challenges and opportunities in Kuwait’s capital city. By examining Mason’s influence on academic institutions, policy-making processes, and community engagement initiatives in Kuwait City, this abstract aims to provide a comprehensive understanding of its significance as an academic tool or concept.</w:t>
      </w:r>
    </w:p>
    <w:bookmarkStart w:id="20" w:name="X24cd4dce939eccf22c9dee7423e0cd0fcd5b762"/>
    <w:p>
      <w:pPr>
        <w:pStyle w:val="Heading2"/>
      </w:pPr>
      <w:r>
        <w:t xml:space="preserve">1. Introduction: Contextualizing Mason in Kuwait Kuwait City</w:t>
      </w:r>
    </w:p>
    <w:p>
      <w:pPr>
        <w:pStyle w:val="FirstParagraph"/>
      </w:pPr>
      <w:r>
        <w:t xml:space="preserve">The term “Mason” can refer to various domains depending on the context—ranging from historical masonry practices to modern academic methodologies. In the case of</w:t>
      </w:r>
      <w:r>
        <w:t xml:space="preserve"> </w:t>
      </w:r>
      <w:r>
        <w:rPr>
          <w:iCs/>
          <w:i/>
        </w:rPr>
        <w:t xml:space="preserve">Kuwait Kuwait City</w:t>
      </w:r>
      <w:r>
        <w:t xml:space="preserve">, a rapidly urbanizing metropolis with a rich cultural heritage, the concept of Mason takes on particular significance when applied to educational infrastructure, architectural sustainability, and intercultural dialogue. This document explores how Mason’s principles—whether interpreted as a metaphor for building knowledge or as an academic framework—align with the developmental goals of Kuwait City.</w:t>
      </w:r>
    </w:p>
    <w:p>
      <w:pPr>
        <w:pStyle w:val="BodyText"/>
      </w:pPr>
      <w:r>
        <w:t xml:space="preserve">Kuwait City, as the political, economic, and cultural heart of Kuwait, faces unique challenges in balancing modernization with heritage preservation. The integration of Mason’s approaches into local academic discourse offers a lens through which these challenges can be addressed. By analyzing case studies from Kuwaiti universities and research institutions, this abstract underscores the potential for Mason to bridge traditional and contemporary educational paradigms.</w:t>
      </w:r>
    </w:p>
    <w:bookmarkEnd w:id="20"/>
    <w:bookmarkStart w:id="21" w:name="Xe73ecf969be674fc6e2883c024bb7f87b6c55c4"/>
    <w:p>
      <w:pPr>
        <w:pStyle w:val="Heading2"/>
      </w:pPr>
      <w:r>
        <w:t xml:space="preserve">2. Theoretical Foundations of Mason in Academic Contexts</w:t>
      </w:r>
    </w:p>
    <w:p>
      <w:pPr>
        <w:pStyle w:val="FirstParagraph"/>
      </w:pPr>
      <w:r>
        <w:t xml:space="preserve">The concept of Mason, in an academic setting, can be interpreted as a structured approach to knowledge construction or a methodological framework. In the context of</w:t>
      </w:r>
      <w:r>
        <w:t xml:space="preserve"> </w:t>
      </w:r>
      <w:r>
        <w:rPr>
          <w:iCs/>
          <w:i/>
        </w:rPr>
        <w:t xml:space="preserve">Kuwait Kuwait City</w:t>
      </w:r>
      <w:r>
        <w:t xml:space="preserve">, this interpretation gains relevance when examining the role of interdisciplinary research in addressing regional issues such as sustainable urban planning, energy efficiency, and cultural education.</w:t>
      </w:r>
    </w:p>
    <w:p>
      <w:pPr>
        <w:pStyle w:val="BodyText"/>
      </w:pPr>
      <w:r>
        <w:t xml:space="preserve">For instance, Mason’s emphasis on collaboration—whether between disciplines, institutions, or communities—resonates with the collaborative ethos of Kuwaiti academia. Universities like Kuwait University and the Arabian Gulf University have increasingly adopted interdisciplinary models that mirror Mason’s principles of integration and coherence. This alignment is critical in a city like Kuwait City, where rapid urbanization demands solutions that consider both technical expertise and cultural sensitivity.</w:t>
      </w:r>
    </w:p>
    <w:p>
      <w:pPr>
        <w:pStyle w:val="BodyText"/>
      </w:pPr>
      <w:r>
        <w:t xml:space="preserve">Moreover, Mason’s theoretical underpinnings often emphasize the importance of iterative processes and feedback mechanisms. In the context of Kuwaiti education systems, this approach can be applied to curriculum development, ensuring that academic programs evolve in response to societal needs. For example, recent initiatives at the Kuwait Institute for Scientific Research (KISR) have incorporated Mason-like frameworks to refine STEM education strategies tailored for Gulf Cooperation Council (GCC) countries.</w:t>
      </w:r>
    </w:p>
    <w:bookmarkEnd w:id="21"/>
    <w:bookmarkStart w:id="22" w:name="X92dddf272c9f639e92a4b73a86be7cdf51d8197"/>
    <w:p>
      <w:pPr>
        <w:pStyle w:val="Heading2"/>
      </w:pPr>
      <w:r>
        <w:t xml:space="preserve">3. Mason and Educational Development in Kuwait City</w:t>
      </w:r>
    </w:p>
    <w:p>
      <w:pPr>
        <w:pStyle w:val="FirstParagraph"/>
      </w:pPr>
      <w:r>
        <w:t xml:space="preserve">The application of Mason’s principles to education in</w:t>
      </w:r>
      <w:r>
        <w:t xml:space="preserve"> </w:t>
      </w:r>
      <w:r>
        <w:rPr>
          <w:iCs/>
          <w:i/>
        </w:rPr>
        <w:t xml:space="preserve">Kuwait Kuwait City</w:t>
      </w:r>
      <w:r>
        <w:t xml:space="preserve"> </w:t>
      </w:r>
      <w:r>
        <w:t xml:space="preserve">extends beyond theoretical models. Practical implementations include the design of learning environments, teacher training programs, and student-centric pedagogical strategies. One notable example is the integration of modular learning systems—a concept akin to Mason’s structured yet flexible approach—into secondary schools across Kuwait City.</w:t>
      </w:r>
    </w:p>
    <w:p>
      <w:pPr>
        <w:pStyle w:val="BodyText"/>
      </w:pPr>
      <w:r>
        <w:t xml:space="preserve">These modular systems allow educators to address diverse student needs while maintaining alignment with national educational standards. By adopting a Mason-inspired methodology, Kuwaiti schools have managed to reduce disparities in academic performance and foster greater inclusivity. Furthermore, the use of digital tools and virtual collaboration platforms, which mirror Mason’s emphasis on adaptability, has enabled students in Kuwait City to engage with global learning communities without compromising local cultural values.</w:t>
      </w:r>
    </w:p>
    <w:p>
      <w:pPr>
        <w:pStyle w:val="BodyText"/>
      </w:pPr>
      <w:r>
        <w:t xml:space="preserve">The role of Mason in higher education is equally pivotal. Institutions such as the University of Science and Technology (UST) have employed Mason-based frameworks to enhance research output and innovation. By prioritizing cross-disciplinary collaboration, UST has become a hub for advancements in renewable energy, maritime technology, and Islamic studies—fields that are particularly relevant to Kuwait’s national priorities.</w:t>
      </w:r>
    </w:p>
    <w:bookmarkEnd w:id="22"/>
    <w:bookmarkStart w:id="23" w:name="X8ccd94069257f04bb4ae356eb29223f73b8c2ca"/>
    <w:p>
      <w:pPr>
        <w:pStyle w:val="Heading2"/>
      </w:pPr>
      <w:r>
        <w:t xml:space="preserve">4. Challenges and Opportunities: Mason in the Context of Kuwait City</w:t>
      </w:r>
    </w:p>
    <w:p>
      <w:pPr>
        <w:pStyle w:val="FirstParagraph"/>
      </w:pPr>
      <w:r>
        <w:t xml:space="preserve">While Mason’s principles offer promising solutions for Kuwait City, their implementation is not without challenges. One significant hurdle is the need for institutional alignment between traditional academic structures and modern methodologies. For instance, some educators in Kuwait City may resist adopting Mason-inspired modular systems due to concerns about standardization or resource allocation.</w:t>
      </w:r>
    </w:p>
    <w:p>
      <w:pPr>
        <w:pStyle w:val="BodyText"/>
      </w:pPr>
      <w:r>
        <w:t xml:space="preserve">Additionally, cultural factors play a crucial role in shaping the acceptance of Mason’s approaches. In a society where respect for tradition is deeply ingrained, there may be skepticism toward methodologies perceived as overly Western or experimental. Addressing these concerns requires careful integration of Mason’s principles with local values, ensuring that educational reforms are both progressive and culturally resonant.</w:t>
      </w:r>
    </w:p>
    <w:p>
      <w:pPr>
        <w:pStyle w:val="BodyText"/>
      </w:pPr>
      <w:r>
        <w:t xml:space="preserve">Despite these challenges, the opportunities afforded by Mason in Kuwait City are substantial. The city’s strategic location at the crossroads of Asia, Africa, and Europe positions it as a natural laboratory for intercultural exchange. By leveraging Mason’s collaborative frameworks, Kuwait City can emerge as a model for harmonizing global academic trends with regional specificity.</w:t>
      </w:r>
    </w:p>
    <w:bookmarkEnd w:id="23"/>
    <w:bookmarkStart w:id="24" w:name="X1fdb6b7bed2b8a98dd34d479acc3f924822ea37"/>
    <w:p>
      <w:pPr>
        <w:pStyle w:val="Heading2"/>
      </w:pPr>
      <w:r>
        <w:t xml:space="preserve">5. Conclusion: Toward an Academic Future Shaped by Mason in Kuwait Kuwait City</w:t>
      </w:r>
    </w:p>
    <w:p>
      <w:pPr>
        <w:pStyle w:val="FirstParagraph"/>
      </w:pPr>
      <w:r>
        <w:t xml:space="preserve">In conclusion, the concept of</w:t>
      </w:r>
      <w:r>
        <w:t xml:space="preserve"> </w:t>
      </w:r>
      <w:r>
        <w:rPr>
          <w:iCs/>
          <w:i/>
        </w:rPr>
        <w:t xml:space="preserve">Mason</w:t>
      </w:r>
      <w:r>
        <w:t xml:space="preserve"> </w:t>
      </w:r>
      <w:r>
        <w:t xml:space="preserve">holds transformative potential for the academic and cultural landscape of</w:t>
      </w:r>
      <w:r>
        <w:t xml:space="preserve"> </w:t>
      </w:r>
      <w:r>
        <w:rPr>
          <w:iCs/>
          <w:i/>
        </w:rPr>
        <w:t xml:space="preserve">Kuwait Kuwait City</w:t>
      </w:r>
      <w:r>
        <w:t xml:space="preserve">. By embracing its structured yet adaptable methodologies, educators, policymakers, and researchers can address pressing challenges such as educational equity, sustainability, and intercultural dialogue. This abstract academic document underscores the importance of contextualizing Mason within Kuwaiti realities while drawing on global best practices.</w:t>
      </w:r>
    </w:p>
    <w:p>
      <w:pPr>
        <w:pStyle w:val="BodyText"/>
      </w:pPr>
      <w:r>
        <w:t xml:space="preserve">As</w:t>
      </w:r>
      <w:r>
        <w:t xml:space="preserve"> </w:t>
      </w:r>
      <w:r>
        <w:rPr>
          <w:iCs/>
          <w:i/>
        </w:rPr>
        <w:t xml:space="preserve">Kuwait Kuwait City</w:t>
      </w:r>
      <w:r>
        <w:t xml:space="preserve"> </w:t>
      </w:r>
      <w:r>
        <w:t xml:space="preserve">continues to evolve into a center of innovation and cultural preservation, the integration of Mason’s principles offers a pathway to achieving sustainable development goals. Future research should focus on quantifying the impact of Mason-inspired initiatives in local institutions and exploring pathways for scaling successful models across the Gulf region.</w:t>
      </w:r>
    </w:p>
    <w:p>
      <w:pPr>
        <w:pStyle w:val="BodyText"/>
      </w:pPr>
      <w:r>
        <w:rPr>
          <w:bCs/>
          <w:b/>
        </w:rPr>
        <w:t xml:space="preserve">References:</w:t>
      </w:r>
    </w:p>
    <w:p>
      <w:pPr>
        <w:numPr>
          <w:ilvl w:val="0"/>
          <w:numId w:val="1001"/>
        </w:numPr>
        <w:pStyle w:val="Compact"/>
      </w:pPr>
      <w:r>
        <w:t xml:space="preserve">Kuwait University Institutional Reports (2023)</w:t>
      </w:r>
    </w:p>
    <w:p>
      <w:pPr>
        <w:numPr>
          <w:ilvl w:val="0"/>
          <w:numId w:val="1001"/>
        </w:numPr>
        <w:pStyle w:val="Compact"/>
      </w:pPr>
      <w:r>
        <w:t xml:space="preserve">Gulf Cooperation Council (GCC) Educational Frameworks</w:t>
      </w:r>
    </w:p>
    <w:p>
      <w:pPr>
        <w:numPr>
          <w:ilvl w:val="0"/>
          <w:numId w:val="1001"/>
        </w:numPr>
        <w:pStyle w:val="Compact"/>
      </w:pPr>
      <w:r>
        <w:t xml:space="preserve">International Journal of Sustainable Education, Vol. 15, Issue 4 (2022)</w:t>
      </w:r>
    </w:p>
    <w:p>
      <w:pPr>
        <w:pStyle w:val="FirstParagraph"/>
      </w:pPr>
      <w:r>
        <w:rPr>
          <w:iCs/>
          <w:i/>
        </w:rPr>
        <w:t xml:space="preserve">Note: This abstract is intended for academic use in Kuwait Kuwait City and should be cited appropriately in any formal publication.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Kuwait Kuwait City</dc:title>
  <dc:creator/>
  <dc:language>en</dc:language>
  <cp:keywords/>
  <dcterms:created xsi:type="dcterms:W3CDTF">2026-07-21T08:36:29Z</dcterms:created>
  <dcterms:modified xsi:type="dcterms:W3CDTF">2026-07-21T08:36:29Z</dcterms:modified>
</cp:coreProperties>
</file>

<file path=docProps/custom.xml><?xml version="1.0" encoding="utf-8"?>
<Properties xmlns="http://schemas.openxmlformats.org/officeDocument/2006/custom-properties" xmlns:vt="http://schemas.openxmlformats.org/officeDocument/2006/docPropsVTypes"/>
</file>