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8ae5cc8e3937017c85dd5e233a41d43c9b59cc"/>
    <w:p>
      <w:pPr>
        <w:pStyle w:val="Heading1"/>
      </w:pPr>
      <w:r>
        <w:t xml:space="preserve">Abstract Academic Document: The Role of Mathematicians in the United Arab Emirates (Abu Dhabi)</w:t>
      </w:r>
    </w:p>
    <w:bookmarkStart w:id="20" w:name="introduction"/>
    <w:p>
      <w:pPr>
        <w:pStyle w:val="Heading2"/>
      </w:pPr>
      <w:r>
        <w:t xml:space="preserve">Introduction</w:t>
      </w:r>
    </w:p>
    <w:p>
      <w:pPr>
        <w:pStyle w:val="FirstParagraph"/>
      </w:pPr>
      <w:r>
        <w:t xml:space="preserve">The field of mathematics has long been a cornerstone of scientific and technological advancement, serving as a universal language that underpins innovation across disciplines. In the context of the United Arab Emirates (UAE), particularly in Abu Dhabi, the strategic emphasis on education, research, and sustainable development has positioned mathematicians as pivotal figures in shaping the nation's future. This abstract academic document explores the multifaceted contributions of mathematicians within Abu Dhabi’s academic and professional landscapes, emphasizing their role in aligning mathematical research with national priorities such as economic diversification, technological innovation, and global competitiveness. The document also examines how the unique socio-cultural and institutional framework of Abu Dhabi fosters mathematical excellence while addressing challenges specific to the region.</w:t>
      </w:r>
    </w:p>
    <w:bookmarkEnd w:id="20"/>
    <w:bookmarkStart w:id="21" w:name="X9124db5601262ae6f84158314bf33e4ea311503"/>
    <w:p>
      <w:pPr>
        <w:pStyle w:val="Heading2"/>
      </w:pPr>
      <w:r>
        <w:t xml:space="preserve">Historical Context: Mathematics in the UAE</w:t>
      </w:r>
    </w:p>
    <w:p>
      <w:pPr>
        <w:pStyle w:val="FirstParagraph"/>
      </w:pPr>
      <w:r>
        <w:t xml:space="preserve">The United Arab Emirates, including Abu Dhabi, has undergone rapid transformation since gaining independence in 1971. While traditionally reliant on oil exports, the UAE has prioritized diversification through initiatives like Vision 2021 and Vision 2030. These national strategies emphasize knowledge-based economies, with education and research at their core. Mathematics, as a foundational discipline, has been integral to this transformation. Abu Dhabi’s investment in world-class institutions such as Khalifa University of Science and Technology (KUST), Masdar Institute of Science and Technology (now part of KUST), and the Mohammed Bin Rashid Space Centre (MBRSC) underscores the emirate’s commitment to fostering mathematical expertise.</w:t>
      </w:r>
    </w:p>
    <w:bookmarkEnd w:id="21"/>
    <w:bookmarkStart w:id="22" w:name="the-role-of-mathematicians-in-abu-dhabi"/>
    <w:p>
      <w:pPr>
        <w:pStyle w:val="Heading2"/>
      </w:pPr>
      <w:r>
        <w:t xml:space="preserve">The Role of Mathematicians in Abu Dhabi</w:t>
      </w:r>
    </w:p>
    <w:p>
      <w:pPr>
        <w:pStyle w:val="FirstParagraph"/>
      </w:pPr>
      <w:r>
        <w:t xml:space="preserve">Mathematicians in Abu Dhabi operate at the intersection of academia, industry, and government. Their work spans theoretical research, applied problem-solving, and interdisciplinary collaboration. For instance:</w:t>
      </w:r>
    </w:p>
    <w:p>
      <w:pPr>
        <w:numPr>
          <w:ilvl w:val="0"/>
          <w:numId w:val="1001"/>
        </w:numPr>
        <w:pStyle w:val="Compact"/>
      </w:pPr>
      <w:r>
        <w:rPr>
          <w:bCs/>
          <w:b/>
        </w:rPr>
        <w:t xml:space="preserve">Theoretical Mathematics:</w:t>
      </w:r>
      <w:r>
        <w:t xml:space="preserve"> </w:t>
      </w:r>
      <w:r>
        <w:t xml:space="preserve">Researchers in pure mathematics contribute to fields like algebraic geometry, number theory, and topology. These areas not only advance mathematical knowledge but also have applications in cryptography (critical for national security) and quantum computing (essential for future technological leadership).</w:t>
      </w:r>
    </w:p>
    <w:p>
      <w:pPr>
        <w:numPr>
          <w:ilvl w:val="0"/>
          <w:numId w:val="1001"/>
        </w:numPr>
        <w:pStyle w:val="Compact"/>
      </w:pPr>
      <w:r>
        <w:rPr>
          <w:bCs/>
          <w:b/>
        </w:rPr>
        <w:t xml:space="preserve">Applied Mathematics:</w:t>
      </w:r>
      <w:r>
        <w:t xml:space="preserve"> </w:t>
      </w:r>
      <w:r>
        <w:t xml:space="preserve">Mathematicians develop models for energy systems, urban planning, and climate change mitigation. Given Abu Dhabi’s focus on sustainability, such work aligns with the emirate’s goal of becoming a global leader in renewable energy and environmental stewardship.</w:t>
      </w:r>
    </w:p>
    <w:p>
      <w:pPr>
        <w:numPr>
          <w:ilvl w:val="0"/>
          <w:numId w:val="1001"/>
        </w:numPr>
        <w:pStyle w:val="Compact"/>
      </w:pPr>
      <w:r>
        <w:rPr>
          <w:bCs/>
          <w:b/>
        </w:rPr>
        <w:t xml:space="preserve">Data Science and AI:</w:t>
      </w:r>
      <w:r>
        <w:t xml:space="preserve"> </w:t>
      </w:r>
      <w:r>
        <w:t xml:space="preserve">With the rise of artificial intelligence (AI) and big data analytics, mathematicians are instrumental in building algorithms for smart cities, healthcare systems, and financial services. This aligns with Abu Dhabi’s Smart Dubai initiative and its ambition to integrate technology into daily life.</w:t>
      </w:r>
    </w:p>
    <w:bookmarkEnd w:id="22"/>
    <w:bookmarkStart w:id="23" w:name="X62899062f712004ae996b1a041b6812bb84975c"/>
    <w:p>
      <w:pPr>
        <w:pStyle w:val="Heading2"/>
      </w:pPr>
      <w:r>
        <w:t xml:space="preserve">Educational Initiatives and Institutional Support</w:t>
      </w:r>
    </w:p>
    <w:p>
      <w:pPr>
        <w:pStyle w:val="FirstParagraph"/>
      </w:pPr>
      <w:r>
        <w:t xml:space="preserve">Abu Dhabi has invested heavily in cultivating a pipeline of mathematical talent. Institutions like the Abu Dhabi Education Council (ADEC), the National Center for Artificial Intelligence (NCAI), and the Emirates Academy of Engineering play critical roles in promoting STEM education from an early age. University-level programs, such as those at Khalifa University, offer rigorous training in mathematics with specializations tailored to regional needs. For example:</w:t>
      </w:r>
    </w:p>
    <w:p>
      <w:pPr>
        <w:numPr>
          <w:ilvl w:val="0"/>
          <w:numId w:val="1002"/>
        </w:numPr>
        <w:pStyle w:val="Compact"/>
      </w:pPr>
      <w:r>
        <w:rPr>
          <w:bCs/>
          <w:b/>
        </w:rPr>
        <w:t xml:space="preserve">Interdisciplinary Programs:</w:t>
      </w:r>
      <w:r>
        <w:t xml:space="preserve"> </w:t>
      </w:r>
      <w:r>
        <w:t xml:space="preserve">Courses combining mathematics with engineering, computer science, and environmental studies ensure graduates are equipped to address complex challenges.</w:t>
      </w:r>
    </w:p>
    <w:p>
      <w:pPr>
        <w:numPr>
          <w:ilvl w:val="0"/>
          <w:numId w:val="1002"/>
        </w:numPr>
        <w:pStyle w:val="Compact"/>
      </w:pPr>
      <w:r>
        <w:rPr>
          <w:bCs/>
          <w:b/>
        </w:rPr>
        <w:t xml:space="preserve">International Collaboration:</w:t>
      </w:r>
      <w:r>
        <w:t xml:space="preserve"> </w:t>
      </w:r>
      <w:r>
        <w:t xml:space="preserve">Partnerships with global institutions (e.g., MIT, Stanford) allow Abu Dhabi mathematicians to engage in cutting-edge research while maintaining cultural relevance.</w:t>
      </w:r>
    </w:p>
    <w:p>
      <w:pPr>
        <w:numPr>
          <w:ilvl w:val="0"/>
          <w:numId w:val="1002"/>
        </w:numPr>
        <w:pStyle w:val="Compact"/>
      </w:pPr>
      <w:r>
        <w:rPr>
          <w:bCs/>
          <w:b/>
        </w:rPr>
        <w:t xml:space="preserve">Funding and Grants:</w:t>
      </w:r>
      <w:r>
        <w:t xml:space="preserve"> </w:t>
      </w:r>
      <w:r>
        <w:t xml:space="preserve">The Abu Dhabi Investment Authority (ADIA) and the UAE Ministry of Education provide substantial financial support for mathematical research, ensuring that local scholars can compete on the global stage.</w:t>
      </w:r>
    </w:p>
    <w:bookmarkEnd w:id="23"/>
    <w:bookmarkStart w:id="24" w:name="challenges-and-opportunities"/>
    <w:p>
      <w:pPr>
        <w:pStyle w:val="Heading2"/>
      </w:pPr>
      <w:r>
        <w:t xml:space="preserve">Challenges and Opportunities</w:t>
      </w:r>
    </w:p>
    <w:p>
      <w:pPr>
        <w:pStyle w:val="FirstParagraph"/>
      </w:pPr>
      <w:r>
        <w:t xml:space="preserve">While Abu Dhabi’s academic environment is conducive to mathematical innovation, several challenges persist. These include:</w:t>
      </w:r>
    </w:p>
    <w:p>
      <w:pPr>
        <w:numPr>
          <w:ilvl w:val="0"/>
          <w:numId w:val="1003"/>
        </w:numPr>
        <w:pStyle w:val="Compact"/>
      </w:pPr>
      <w:r>
        <w:rPr>
          <w:bCs/>
          <w:b/>
        </w:rPr>
        <w:t xml:space="preserve">Talent Retention:</w:t>
      </w:r>
      <w:r>
        <w:t xml:space="preserve"> </w:t>
      </w:r>
      <w:r>
        <w:t xml:space="preserve">Attracting and retaining top mathematicians requires competitive salaries, research infrastructure, and a vibrant intellectual community.</w:t>
      </w:r>
    </w:p>
    <w:p>
      <w:pPr>
        <w:numPr>
          <w:ilvl w:val="0"/>
          <w:numId w:val="1003"/>
        </w:numPr>
        <w:pStyle w:val="Compact"/>
      </w:pPr>
      <w:r>
        <w:rPr>
          <w:bCs/>
          <w:b/>
        </w:rPr>
        <w:t xml:space="preserve">Cultural Adaptation:</w:t>
      </w:r>
      <w:r>
        <w:t xml:space="preserve"> </w:t>
      </w:r>
      <w:r>
        <w:t xml:space="preserve">Balancing international research standards with local priorities can be complex. Mathematicians must navigate cultural nuances while ensuring their work meets global benchmarks.</w:t>
      </w:r>
    </w:p>
    <w:p>
      <w:pPr>
        <w:numPr>
          <w:ilvl w:val="0"/>
          <w:numId w:val="1003"/>
        </w:numPr>
        <w:pStyle w:val="Compact"/>
      </w:pPr>
      <w:r>
        <w:rPr>
          <w:bCs/>
          <w:b/>
        </w:rPr>
        <w:t xml:space="preserve">Interdisciplinary Communication:</w:t>
      </w:r>
      <w:r>
        <w:t xml:space="preserve"> </w:t>
      </w:r>
      <w:r>
        <w:t xml:space="preserve">Collaborating across fields (e.g., mathematics and medicine) demands effective communication of abstract concepts to non-specialists.</w:t>
      </w:r>
    </w:p>
    <w:p>
      <w:pPr>
        <w:pStyle w:val="FirstParagraph"/>
      </w:pPr>
      <w:r>
        <w:t xml:space="preserve">Despite these challenges, opportunities abound. Abu Dhabi’s growing tech sector, focus on AI, and investment in space exploration (via the MBRSC) create a fertile ground for mathematicians to apply their skills in novel ways. Additionally, the emirate’s strategic location and diplomatic ties position it as a hub for cross-border research collaborations.</w:t>
      </w:r>
    </w:p>
    <w:bookmarkEnd w:id="24"/>
    <w:bookmarkStart w:id="25" w:name="conclusion"/>
    <w:p>
      <w:pPr>
        <w:pStyle w:val="Heading2"/>
      </w:pPr>
      <w:r>
        <w:t xml:space="preserve">Conclusion</w:t>
      </w:r>
    </w:p>
    <w:p>
      <w:pPr>
        <w:pStyle w:val="FirstParagraph"/>
      </w:pPr>
      <w:r>
        <w:t xml:space="preserve">In conclusion, mathematicians in the United Arab Emirates (Abu Dhabi) are not merely scholars of abstract theory but architects of the nation’s future. Their contributions span theoretical advancements, technological innovation, and educational reform, all aligned with Abu Dhabi’s vision for sustainable growth and global influence. By fostering a culture of curiosity and collaboration, the emirate is ensuring that mathematics remains a driving force behind its transformation into a knowledge-based economy. As Abu Dhabi continues to invest in human capital and infrastructure, mathematicians will play an indispensable role in shaping the next chapter of this dynamic region.</w:t>
      </w:r>
    </w:p>
    <w:bookmarkEnd w:id="25"/>
    <w:bookmarkStart w:id="26" w:name="references"/>
    <w:p>
      <w:pPr>
        <w:pStyle w:val="Heading2"/>
      </w:pPr>
      <w:r>
        <w:t xml:space="preserve">References</w:t>
      </w:r>
    </w:p>
    <w:p>
      <w:pPr>
        <w:pStyle w:val="FirstParagraph"/>
      </w:pPr>
      <w:r>
        <w:t xml:space="preserve">This document draws on data from:</w:t>
      </w:r>
    </w:p>
    <w:p>
      <w:pPr>
        <w:numPr>
          <w:ilvl w:val="0"/>
          <w:numId w:val="1004"/>
        </w:numPr>
        <w:pStyle w:val="Compact"/>
      </w:pPr>
      <w:r>
        <w:t xml:space="preserve">The Abu Dhabi Department of Education and Human Capital (ADEHC).</w:t>
      </w:r>
    </w:p>
    <w:p>
      <w:pPr>
        <w:numPr>
          <w:ilvl w:val="0"/>
          <w:numId w:val="1004"/>
        </w:numPr>
        <w:pStyle w:val="Compact"/>
      </w:pPr>
      <w:r>
        <w:t xml:space="preserve">Khalifa University of Science and Technology’s research publications.</w:t>
      </w:r>
    </w:p>
    <w:p>
      <w:pPr>
        <w:numPr>
          <w:ilvl w:val="0"/>
          <w:numId w:val="1004"/>
        </w:numPr>
        <w:pStyle w:val="Compact"/>
      </w:pPr>
      <w:r>
        <w:t xml:space="preserve">The UAE Vision 2021 and Vision 2030 strategic frameworks.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the United Arab Emirates (Abu Dhabi)</dc:title>
  <dc:creator/>
  <dc:language>en</dc:language>
  <cp:keywords/>
  <dcterms:created xsi:type="dcterms:W3CDTF">2026-07-23T10:10:10Z</dcterms:created>
  <dcterms:modified xsi:type="dcterms:W3CDTF">2026-07-23T10:10:10Z</dcterms:modified>
</cp:coreProperties>
</file>

<file path=docProps/custom.xml><?xml version="1.0" encoding="utf-8"?>
<Properties xmlns="http://schemas.openxmlformats.org/officeDocument/2006/custom-properties" xmlns:vt="http://schemas.openxmlformats.org/officeDocument/2006/docPropsVTypes"/>
</file>