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7243e58a01d4006dec1a6271000e6e315104cfb"/>
    <w:p>
      <w:pPr>
        <w:pStyle w:val="Heading1"/>
      </w:pPr>
      <w:r>
        <w:t xml:space="preserve">Abstract Academic Document: The Role and Challenges of Teacher Primary in the Educational Landscape of Russia, Moscow</w:t>
      </w:r>
    </w:p>
    <w:p>
      <w:pPr>
        <w:pStyle w:val="FirstParagraph"/>
      </w:pPr>
      <w:r>
        <w:t xml:space="preserve">The role of the primary teacher is foundational to the development of a nation's educational system, and this is particularly evident in regions like Russia’s capital, Moscow. As a global hub for education and policy innovation, Moscow presents unique challenges and opportunities for primary educators. This academic abstract explores the multifaceted responsibilities of Teacher Primary in Russia’s capital, examining their role within the context of national educational reforms, socio-economic factors, and cultural dynamics specific to Moscow. The document also evaluates current pedagogical practices, challenges faced by teachers in urban settings, and potential pathways for enhancing primary education quality in this region.</w:t>
      </w:r>
    </w:p>
    <w:bookmarkStart w:id="20" w:name="Xe388ef9ac49a3ba59b39524515106f08d2ea9d8"/>
    <w:p>
      <w:pPr>
        <w:pStyle w:val="Heading2"/>
      </w:pPr>
      <w:r>
        <w:t xml:space="preserve">1. Introduction: Contextualizing Teacher Primary in Russia’s Capital</w:t>
      </w:r>
    </w:p>
    <w:p>
      <w:pPr>
        <w:pStyle w:val="FirstParagraph"/>
      </w:pPr>
      <w:r>
        <w:t xml:space="preserve">Moscow, as the political, economic, and cultural center of Russia, hosts a diverse educational ecosystem that reflects both national priorities and local needs. The primary education system in Moscow operates under the broader framework of federal laws such as the Federal Law on Education (1992) and subsequent amendments aimed at modernizing curricula and improving teacher training. Teacher Primary—defined here as educators responsible for teaching children aged 6–10 years—play a critical role in shaping students’ foundational knowledge, social skills, and cognitive development. Their work is influenced by policies from the Moscow Department of Education (Mosobrazovanie) and the Ministry of Education and Science of Russia.</w:t>
      </w:r>
    </w:p>
    <w:bookmarkEnd w:id="20"/>
    <w:bookmarkStart w:id="21" w:name="X4147e508ed89a43ae5201ec481fb6f41df5ab18"/>
    <w:p>
      <w:pPr>
        <w:pStyle w:val="Heading2"/>
      </w:pPr>
      <w:r>
        <w:t xml:space="preserve">2. The Role and Responsibilities of Teacher Primary in Moscow</w:t>
      </w:r>
    </w:p>
    <w:p>
      <w:pPr>
        <w:pStyle w:val="FirstParagraph"/>
      </w:pPr>
      <w:r>
        <w:t xml:space="preserve">Teacher Primary in Moscow are tasked with delivering a broad curriculum that includes literacy, mathematics, natural sciences, art, physical education, and social studies. Their responsibilities extend beyond academics to fostering emotional intelligence and preparing students for the complexities of secondary education. In urban schools like those in the Central Administrative District or the Novokosinskoye area of Moscow Oblast, teachers often manage large classes (sometimes exceeding 30 students) while integrating technology into lessons.</w:t>
      </w:r>
    </w:p>
    <w:p>
      <w:pPr>
        <w:numPr>
          <w:ilvl w:val="0"/>
          <w:numId w:val="1001"/>
        </w:numPr>
        <w:pStyle w:val="Compact"/>
      </w:pPr>
      <w:r>
        <w:rPr>
          <w:bCs/>
          <w:b/>
        </w:rPr>
        <w:t xml:space="preserve">Curriculum Implementation:</w:t>
      </w:r>
      <w:r>
        <w:t xml:space="preserve"> </w:t>
      </w:r>
      <w:r>
        <w:t xml:space="preserve">Adherence to national standards while incorporating local initiatives, such as bilingual education programs or STEM-focused modules.</w:t>
      </w:r>
    </w:p>
    <w:p>
      <w:pPr>
        <w:numPr>
          <w:ilvl w:val="0"/>
          <w:numId w:val="1001"/>
        </w:numPr>
        <w:pStyle w:val="Compact"/>
      </w:pPr>
      <w:r>
        <w:rPr>
          <w:bCs/>
          <w:b/>
        </w:rPr>
        <w:t xml:space="preserve">Differentiated Instruction:</w:t>
      </w:r>
      <w:r>
        <w:t xml:space="preserve"> </w:t>
      </w:r>
      <w:r>
        <w:t xml:space="preserve">Addressing diverse learning needs, including students with disabilities (as outlined in the Russian Federal Law on Education for Persons with Disabilities) and those from migrant families.</w:t>
      </w:r>
    </w:p>
    <w:p>
      <w:pPr>
        <w:numPr>
          <w:ilvl w:val="0"/>
          <w:numId w:val="1001"/>
        </w:numPr>
        <w:pStyle w:val="Compact"/>
      </w:pPr>
      <w:r>
        <w:rPr>
          <w:bCs/>
          <w:b/>
        </w:rPr>
        <w:t xml:space="preserve">Professional Development:</w:t>
      </w:r>
      <w:r>
        <w:t xml:space="preserve"> </w:t>
      </w:r>
      <w:r>
        <w:t xml:space="preserve">Participation in continuous training organized by institutions like the Moscow Pedagogical State University (MGPU) or the Central Institute of Pedagogical Staff Training.</w:t>
      </w:r>
    </w:p>
    <w:bookmarkEnd w:id="21"/>
    <w:bookmarkStart w:id="22" w:name="X1d790cbf3221c6af048da1f35ee9338979fe8e3"/>
    <w:p>
      <w:pPr>
        <w:pStyle w:val="Heading2"/>
      </w:pPr>
      <w:r>
        <w:t xml:space="preserve">3. Challenges Faced by Teacher Primary in Moscow</w:t>
      </w:r>
    </w:p>
    <w:p>
      <w:pPr>
        <w:pStyle w:val="FirstParagraph"/>
      </w:pPr>
      <w:r>
        <w:t xml:space="preserve">The urban environment of Moscow presents unique challenges for primary educators. These include:</w:t>
      </w:r>
    </w:p>
    <w:p>
      <w:pPr>
        <w:numPr>
          <w:ilvl w:val="0"/>
          <w:numId w:val="1002"/>
        </w:numPr>
        <w:pStyle w:val="Compact"/>
      </w:pPr>
      <w:r>
        <w:rPr>
          <w:bCs/>
          <w:b/>
        </w:rPr>
        <w:t xml:space="preserve">Infrastructure and Resource Gaps:</w:t>
      </w:r>
      <w:r>
        <w:t xml:space="preserve"> </w:t>
      </w:r>
      <w:r>
        <w:t xml:space="preserve">While Moscow is known for its modern schools, disparities exist between elite private institutions (e.g., Lyceum 179) and underfunded public schools, particularly in peripheral districts.</w:t>
      </w:r>
    </w:p>
    <w:p>
      <w:pPr>
        <w:numPr>
          <w:ilvl w:val="0"/>
          <w:numId w:val="1002"/>
        </w:numPr>
        <w:pStyle w:val="Compact"/>
      </w:pPr>
      <w:r>
        <w:rPr>
          <w:bCs/>
          <w:b/>
        </w:rPr>
        <w:t xml:space="preserve">Workload Pressures:</w:t>
      </w:r>
      <w:r>
        <w:t xml:space="preserve"> </w:t>
      </w:r>
      <w:r>
        <w:t xml:space="preserve">Teachers often juggle multiple roles, including administrative tasks, parent-teacher communication via digital platforms like the Moscow School Portal (Mos.ru), and extracurricular activities.</w:t>
      </w:r>
    </w:p>
    <w:p>
      <w:pPr>
        <w:numPr>
          <w:ilvl w:val="0"/>
          <w:numId w:val="1002"/>
        </w:numPr>
        <w:pStyle w:val="Compact"/>
      </w:pPr>
      <w:r>
        <w:rPr>
          <w:bCs/>
          <w:b/>
        </w:rPr>
        <w:t xml:space="preserve">Socio-Cultural Diversity:</w:t>
      </w:r>
      <w:r>
        <w:t xml:space="preserve"> </w:t>
      </w:r>
      <w:r>
        <w:t xml:space="preserve">Managing classrooms with students from diverse backgrounds, including Russian-speaking migrants and expatriates, requires culturally responsive teaching strategies.</w:t>
      </w:r>
    </w:p>
    <w:bookmarkEnd w:id="22"/>
    <w:bookmarkStart w:id="23" w:name="X6e19db6fceb9da5858ade9e06bc152653d6f4ef"/>
    <w:p>
      <w:pPr>
        <w:pStyle w:val="Heading2"/>
      </w:pPr>
      <w:r>
        <w:t xml:space="preserve">4. Policy Innovations and Their Impact on Teacher Primary</w:t>
      </w:r>
    </w:p>
    <w:p>
      <w:pPr>
        <w:pStyle w:val="FirstParagraph"/>
      </w:pPr>
      <w:r>
        <w:t xml:space="preserve">The Russian government has prioritized modernization of primary education through initiatives such as the National Project “Education” (launched in 2019). Key components include:</w:t>
      </w:r>
    </w:p>
    <w:p>
      <w:pPr>
        <w:numPr>
          <w:ilvl w:val="0"/>
          <w:numId w:val="1003"/>
        </w:numPr>
        <w:pStyle w:val="Compact"/>
      </w:pPr>
      <w:r>
        <w:rPr>
          <w:bCs/>
          <w:b/>
        </w:rPr>
        <w:t xml:space="preserve">Digital Transformation:</w:t>
      </w:r>
      <w:r>
        <w:t xml:space="preserve"> </w:t>
      </w:r>
      <w:r>
        <w:t xml:space="preserve">Introduction of interactive whiteboards, online learning platforms (e.g., EDU-PLATFORM), and mandatory digital literacy training for teachers.</w:t>
      </w:r>
    </w:p>
    <w:p>
      <w:pPr>
        <w:numPr>
          <w:ilvl w:val="0"/>
          <w:numId w:val="1003"/>
        </w:numPr>
        <w:pStyle w:val="Compact"/>
      </w:pPr>
      <w:r>
        <w:rPr>
          <w:bCs/>
          <w:b/>
        </w:rPr>
        <w:t xml:space="preserve">Teacher Retention Strategies:</w:t>
      </w:r>
      <w:r>
        <w:t xml:space="preserve"> </w:t>
      </w:r>
      <w:r>
        <w:t xml:space="preserve">Increased salaries, housing subsidies for educators in underserved areas, and recognition programs like the “Best Teacher of Russia” awards.</w:t>
      </w:r>
    </w:p>
    <w:p>
      <w:pPr>
        <w:numPr>
          <w:ilvl w:val="0"/>
          <w:numId w:val="1003"/>
        </w:numPr>
        <w:pStyle w:val="Compact"/>
      </w:pPr>
      <w:r>
        <w:rPr>
          <w:bCs/>
          <w:b/>
        </w:rPr>
        <w:t xml:space="preserve">Curriculum Reforms:</w:t>
      </w:r>
      <w:r>
        <w:t xml:space="preserve"> </w:t>
      </w:r>
      <w:r>
        <w:t xml:space="preserve">Emphasis on critical thinking and creativity, as seen in Moscow’s pilot programs introducing project-based learning (PBL) in primary schools.</w:t>
      </w:r>
    </w:p>
    <w:bookmarkEnd w:id="23"/>
    <w:bookmarkStart w:id="24" w:name="X4bab132be4de1a40802eceb3ce3892a74656c17"/>
    <w:p>
      <w:pPr>
        <w:pStyle w:val="Heading2"/>
      </w:pPr>
      <w:r>
        <w:t xml:space="preserve">5. Case Studies: Teacher Primary Practices in Moscow</w:t>
      </w:r>
    </w:p>
    <w:p>
      <w:pPr>
        <w:pStyle w:val="FirstParagraph"/>
      </w:pPr>
      <w:r>
        <w:t xml:space="preserve">A comparative analysis of three Moscow schools highlights the diversity of teaching approaches: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School Name</w:t>
            </w:r>
          </w:p>
        </w:tc>
        <w:tc>
          <w:tcPr/>
          <w:p>
            <w:pPr>
              <w:pStyle w:val="Compact"/>
              <w:jc w:val="left"/>
            </w:pPr>
            <w:r>
              <w:t xml:space="preserve">Location</w:t>
            </w:r>
          </w:p>
        </w:tc>
        <w:tc>
          <w:tcPr/>
          <w:p>
            <w:pPr>
              <w:pStyle w:val="Compact"/>
              <w:jc w:val="left"/>
            </w:pPr>
            <w:r>
              <w:t xml:space="preserve">Key Initiatives</w:t>
            </w:r>
          </w:p>
        </w:tc>
      </w:tr>
      <w:tr>
        <w:tc>
          <w:tcPr/>
          <w:p>
            <w:pPr>
              <w:pStyle w:val="Compact"/>
              <w:jc w:val="left"/>
            </w:pPr>
            <w:r>
              <w:t xml:space="preserve">School No. 47 (Central District)</w:t>
            </w:r>
          </w:p>
        </w:tc>
        <w:tc>
          <w:tcPr/>
          <w:p>
            <w:pPr>
              <w:pStyle w:val="Compact"/>
              <w:jc w:val="left"/>
            </w:pPr>
            <w:r>
              <w:t xml:space="preserve">Moscow City Center</w:t>
            </w:r>
          </w:p>
        </w:tc>
        <w:tc>
          <w:tcPr/>
          <w:p>
            <w:pPr>
              <w:pStyle w:val="Compact"/>
              <w:jc w:val="left"/>
            </w:pPr>
            <w:r>
              <w:t xml:space="preserve">Bilingual education in English and Chinese; integration of AI-based tools for student assessment.</w:t>
            </w:r>
          </w:p>
        </w:tc>
      </w:tr>
      <w:tr>
        <w:tc>
          <w:tcPr/>
          <w:p>
            <w:pPr>
              <w:pStyle w:val="Compact"/>
              <w:jc w:val="left"/>
            </w:pPr>
            <w:r>
              <w:t xml:space="preserve">School No. 152 (Nord-Vostok District)</w:t>
            </w:r>
          </w:p>
        </w:tc>
        <w:tc>
          <w:tcPr/>
          <w:p>
            <w:pPr>
              <w:pStyle w:val="Compact"/>
              <w:jc w:val="left"/>
            </w:pPr>
            <w:r>
              <w:t xml:space="preserve">Eastern Moscow</w:t>
            </w:r>
          </w:p>
        </w:tc>
        <w:tc>
          <w:tcPr/>
          <w:p>
            <w:pPr>
              <w:pStyle w:val="Compact"/>
              <w:jc w:val="left"/>
            </w:pPr>
            <w:r>
              <w:t xml:space="preserve">Focus on STEM; partnerships with local tech companies for robotics workshops.</w:t>
            </w:r>
          </w:p>
        </w:tc>
      </w:tr>
      <w:tr>
        <w:tc>
          <w:tcPr/>
          <w:p>
            <w:pPr>
              <w:pStyle w:val="Compact"/>
              <w:jc w:val="left"/>
            </w:pPr>
            <w:r>
              <w:t xml:space="preserve">Karachay-Cherkess National School</w:t>
            </w:r>
          </w:p>
        </w:tc>
        <w:tc>
          <w:tcPr/>
          <w:p>
            <w:pPr>
              <w:pStyle w:val="Compact"/>
              <w:jc w:val="left"/>
            </w:pPr>
            <w:r>
              <w:t xml:space="preserve">Moscow Oblast</w:t>
            </w:r>
          </w:p>
        </w:tc>
        <w:tc>
          <w:tcPr/>
          <w:p>
            <w:pPr>
              <w:pStyle w:val="Compact"/>
              <w:jc w:val="left"/>
            </w:pPr>
            <w:r>
              <w:t xml:space="preserve">Culturally immersive curriculum; support for minority language preservation.</w:t>
            </w:r>
          </w:p>
        </w:tc>
      </w:tr>
    </w:tbl>
    <w:bookmarkEnd w:id="24"/>
    <w:bookmarkStart w:id="25" w:name="X67a6fdf4ba3b26b0ca4ec4666d05ff4a6e88032"/>
    <w:p>
      <w:pPr>
        <w:pStyle w:val="Heading2"/>
      </w:pPr>
      <w:r>
        <w:t xml:space="preserve">6. Future Directions for Teacher Primary in Moscow</w:t>
      </w:r>
    </w:p>
    <w:p>
      <w:pPr>
        <w:pStyle w:val="FirstParagraph"/>
      </w:pPr>
      <w:r>
        <w:t xml:space="preserve">To address existing gaps, the following measures are recommended:</w:t>
      </w:r>
    </w:p>
    <w:p>
      <w:pPr>
        <w:numPr>
          <w:ilvl w:val="0"/>
          <w:numId w:val="1004"/>
        </w:numPr>
        <w:pStyle w:val="Compact"/>
      </w:pPr>
      <w:r>
        <w:rPr>
          <w:bCs/>
          <w:b/>
        </w:rPr>
        <w:t xml:space="preserve">Enhanced Professional Support:</w:t>
      </w:r>
      <w:r>
        <w:t xml:space="preserve"> </w:t>
      </w:r>
      <w:r>
        <w:t xml:space="preserve">Expanding access to peer mentoring programs and mental health resources for teachers.</w:t>
      </w:r>
    </w:p>
    <w:p>
      <w:pPr>
        <w:numPr>
          <w:ilvl w:val="0"/>
          <w:numId w:val="1004"/>
        </w:numPr>
        <w:pStyle w:val="Compact"/>
      </w:pPr>
      <w:r>
        <w:rPr>
          <w:bCs/>
          <w:b/>
        </w:rPr>
        <w:t xml:space="preserve">Inclusive Education Frameworks:</w:t>
      </w:r>
      <w:r>
        <w:t xml:space="preserve"> </w:t>
      </w:r>
      <w:r>
        <w:t xml:space="preserve">Strengthening policies to ensure equitable access to quality education for all students, including those with disabilities and from low-income families.</w:t>
      </w:r>
    </w:p>
    <w:p>
      <w:pPr>
        <w:numPr>
          <w:ilvl w:val="0"/>
          <w:numId w:val="1004"/>
        </w:numPr>
        <w:pStyle w:val="Compact"/>
      </w:pPr>
      <w:r>
        <w:rPr>
          <w:bCs/>
          <w:b/>
        </w:rPr>
        <w:t xml:space="preserve">Community Engagement:</w:t>
      </w:r>
      <w:r>
        <w:t xml:space="preserve"> </w:t>
      </w:r>
      <w:r>
        <w:t xml:space="preserve">Encouraging collaboration between schools, parents, and local organizations to create holistic learning environments.</w:t>
      </w:r>
    </w:p>
    <w:bookmarkEnd w:id="25"/>
    <w:bookmarkStart w:id="26" w:name="conclusion"/>
    <w:p>
      <w:pPr>
        <w:pStyle w:val="Heading2"/>
      </w:pPr>
      <w:r>
        <w:t xml:space="preserve">7. Conclusion</w:t>
      </w:r>
    </w:p>
    <w:p>
      <w:pPr>
        <w:pStyle w:val="FirstParagraph"/>
      </w:pPr>
      <w:r>
        <w:t xml:space="preserve">The Teacher Primary in Moscow is a pivotal figure in shaping the future of Russia’s education system. Their role is shaped by national policies, urban dynamics, and the evolving needs of students in a rapidly modernizing society. Addressing challenges such as resource disparities, workload pressures, and cultural inclusivity will require sustained investment in teacher training, infrastructure development, and policy innovation. By prioritizing the needs of primary educators in Moscow’s unique context, Russia can ensure a robust foundation for lifelong learning and national progress.</w:t>
      </w:r>
    </w:p>
    <w:p>
      <w:pPr>
        <w:pStyle w:val="BodyText"/>
      </w:pPr>
      <w:r>
        <w:rPr>
          <w:iCs/>
          <w:i/>
        </w:rPr>
        <w:t xml:space="preserve">Keywords: Teacher Primary; Russia Moscow; Educational Reforms; Pedagogical Innovation; Urban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Russia Moscow</dc:title>
  <dc:creator/>
  <dc:language>en</dc:language>
  <cp:keywords/>
  <dcterms:created xsi:type="dcterms:W3CDTF">2026-07-23T11:40:29Z</dcterms:created>
  <dcterms:modified xsi:type="dcterms:W3CDTF">2026-07-23T11:40:29Z</dcterms:modified>
</cp:coreProperties>
</file>

<file path=docProps/custom.xml><?xml version="1.0" encoding="utf-8"?>
<Properties xmlns="http://schemas.openxmlformats.org/officeDocument/2006/custom-properties" xmlns:vt="http://schemas.openxmlformats.org/officeDocument/2006/docPropsVTypes"/>
</file>