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Teacher</w:t>
      </w:r>
      <w:r>
        <w:t xml:space="preserve"> </w:t>
      </w:r>
      <w:r>
        <w:t xml:space="preserve">Secondary</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7" w:name="Xd4be613a80f0f9736bc34e450af39afc2ca16a5"/>
    <w:p>
      <w:pPr>
        <w:pStyle w:val="Heading1"/>
      </w:pPr>
      <w:r>
        <w:t xml:space="preserve">Abstract Academic: The Role of Teacher Secondary in Japan Kyoto</w:t>
      </w:r>
    </w:p>
    <w:p>
      <w:pPr>
        <w:pStyle w:val="FirstParagraph"/>
      </w:pPr>
      <w:r>
        <w:rPr>
          <w:bCs/>
          <w:b/>
        </w:rPr>
        <w:t xml:space="preserve">Keywords:</w:t>
      </w:r>
      <w:r>
        <w:t xml:space="preserve"> </w:t>
      </w:r>
      <w:r>
        <w:t xml:space="preserve">Teacher Secondary, Japan Kyoto, Education Policy, Pedagogical Innovation, Cultural Context.</w:t>
      </w:r>
    </w:p>
    <w:bookmarkStart w:id="20" w:name="introduction"/>
    <w:p>
      <w:pPr>
        <w:pStyle w:val="Heading2"/>
      </w:pPr>
      <w:r>
        <w:t xml:space="preserve">Introduction</w:t>
      </w:r>
    </w:p>
    <w:p>
      <w:pPr>
        <w:pStyle w:val="FirstParagraph"/>
      </w:pPr>
      <w:r>
        <w:t xml:space="preserve">The role of secondary education teachers in Japan has long been a cornerstone of the nation’s educational framework, with Kyoto serving as a pivotal region that reflects both the traditional and evolving dynamics of pedagogical practice. This abstract explores the multifaceted responsibilities, challenges, and opportunities faced by Teacher Secondary (secondary school educators) in Japan Kyoto. Given Kyoto’s historical significance as a center of learning—rooted in its UNESCO World Heritage status and cultural legacy—the study emphasizes how local context shapes the professional identity, teaching methodologies, and societal expectations of secondary educators. The document underscores the critical need to align national education goals with regional realities to foster academic excellence while preserving Kyoto’s unique educational ethos.</w:t>
      </w:r>
    </w:p>
    <w:bookmarkEnd w:id="20"/>
    <w:bookmarkStart w:id="21" w:name="X0d839672fcdf80844fbc5ebd9a221a840b6f2e5"/>
    <w:p>
      <w:pPr>
        <w:pStyle w:val="Heading2"/>
      </w:pPr>
      <w:r>
        <w:t xml:space="preserve">Contextual Framework: Japan’s Education System and Kyoto’s Distinctiveness</w:t>
      </w:r>
    </w:p>
    <w:p>
      <w:pPr>
        <w:pStyle w:val="FirstParagraph"/>
      </w:pPr>
      <w:r>
        <w:t xml:space="preserve">Japan’s education system is renowned for its rigor, emphasis on discipline, and holistic development of students. However, the transition to secondary education (typically grades 7–12) marks a significant shift in pedagogical focus. Teacher Secondary professionals in this stage are tasked with bridging foundational learning with advanced critical thinking, preparing students for university entrance exams and lifelong civic engagement. In Kyoto—a city that harmonizes centuries-old traditions with cutting-edge innovation—secondary educators operate within a unique cultural landscape. The region’s historical institutions, such as Kyoto University and the Kyoto Institute of Technology, create a dynamic environment where traditional Confucian values intersect with modern pedagogical theories.</w:t>
      </w:r>
    </w:p>
    <w:bookmarkEnd w:id="21"/>
    <w:bookmarkStart w:id="22" w:name="Xf921fde90a4c07db35adab15111fcdd253923b0"/>
    <w:p>
      <w:pPr>
        <w:pStyle w:val="Heading2"/>
      </w:pPr>
      <w:r>
        <w:t xml:space="preserve">Challenges Faced by Teacher Secondary in Japan Kyoto</w:t>
      </w:r>
    </w:p>
    <w:p>
      <w:pPr>
        <w:pStyle w:val="FirstParagraph"/>
      </w:pPr>
      <w:r>
        <w:t xml:space="preserve">Despite their vital role, Teacher Secondary professionals in Japan face systemic challenges that impact both teaching effectiveness and personal well-being. The national education system’s emphasis on standardized testing (e.g., the Center Test) often leads to high-pressure environments, where educators must balance curriculum demands with student mental health. In Kyoto, this tension is compounded by the city’s cultural expectations of academic achievement and its role as a tourist hub, which can divert resources from educational infrastructure. Additionally, demographic shifts—such as an aging population and declining birth rates—have strained school budgets and increased the workload on existing staff. Teacher Secondary professionals must also navigate rapid technological advancements, integrating digital tools into classrooms while maintaining the cultural relevance of Kyoto’s heritage-based curricula.</w:t>
      </w:r>
    </w:p>
    <w:bookmarkEnd w:id="22"/>
    <w:bookmarkStart w:id="23" w:name="X555ef03eab1f018d9a570986dabf294f843a0b2"/>
    <w:p>
      <w:pPr>
        <w:pStyle w:val="Heading2"/>
      </w:pPr>
      <w:r>
        <w:t xml:space="preserve">Strategies for Improvement: Pedagogical Innovation in Japan Kyoto</w:t>
      </w:r>
    </w:p>
    <w:p>
      <w:pPr>
        <w:pStyle w:val="FirstParagraph"/>
      </w:pPr>
      <w:r>
        <w:t xml:space="preserve">To address these challenges, this study proposes evidence-based strategies tailored to the needs of Teacher Secondary professionals in Japan Kyoto. First, professional development programs should prioritize cross-cultural competencies, enabling educators to incorporate Kyoto’s rich cultural assets (e.g., traditional arts, historical sites) into modern curricula. For instance, integrating lessons on Japanese philosophy through visits to Kyoto’s temples or using local history to teach civics could enhance student engagement while reinforcing regional identity. Second, the adoption of technology-enhanced learning models—such as AI-driven personalized learning platforms—could alleviate administrative burdens and provide targeted support for students. Kyoto’s tech-savvy population and partnerships with private companies (e.g., robotics firms) position the region to lead in this domain.</w:t>
      </w:r>
    </w:p>
    <w:bookmarkEnd w:id="23"/>
    <w:bookmarkStart w:id="24" w:name="X8aba9e7924a0866fc304bd357a95e47f9cab384"/>
    <w:p>
      <w:pPr>
        <w:pStyle w:val="Heading2"/>
      </w:pPr>
      <w:r>
        <w:t xml:space="preserve">Case Studies: Teacher Secondary Practices in Japan Kyoto</w:t>
      </w:r>
    </w:p>
    <w:p>
      <w:pPr>
        <w:pStyle w:val="FirstParagraph"/>
      </w:pPr>
      <w:r>
        <w:t xml:space="preserve">Two case studies illustrate successful approaches to secondary education in Kyoto. First, a public high school in the Arashiyama district implemented a project-based learning model that combined environmental science with local conservation efforts. Students collaborated with Kyoto’s Botanical Gardens to study biodiversity, blending scientific inquiry with cultural preservation. This approach not only improved academic outcomes but also instilled a sense of community responsibility among students. Second, an international school in Kyoto adopted a dual-language program (Japanese and English), training Teacher Secondary professionals to navigate multicultural classrooms while adhering to national standards. The school’s success highlights the potential of localized, culturally responsive pedagogy to enhance global competencies.</w:t>
      </w:r>
    </w:p>
    <w:bookmarkEnd w:id="24"/>
    <w:bookmarkStart w:id="25" w:name="X6a372d8af8feb8273a43478113be35d7e2f8ce2"/>
    <w:p>
      <w:pPr>
        <w:pStyle w:val="Heading2"/>
      </w:pPr>
      <w:r>
        <w:t xml:space="preserve">The Role of Policy and Institutional Support</w:t>
      </w:r>
    </w:p>
    <w:p>
      <w:pPr>
        <w:pStyle w:val="FirstParagraph"/>
      </w:pPr>
      <w:r>
        <w:t xml:space="preserve">Effective policy frameworks are essential to empower Teacher Secondary professionals in Japan Kyoto. Local governments must allocate resources for teacher training, mental health support, and classroom infrastructure upgrades. Kyoto’s municipal education department has already taken steps toward this by launching a “Kyoto Educator Fellowship” program, which funds innovative teaching projects and provides mentorship for new educators. At the national level, reforms to reduce reliance on standardized testing—while maintaining high academic standards—could alleviate pressure on both teachers and students. Furthermore, fostering partnerships between schools, universities (e.g., Kyoto University’s Faculty of Education), and local industries would create a pipeline for continuous professional development.</w:t>
      </w:r>
    </w:p>
    <w:bookmarkEnd w:id="25"/>
    <w:bookmarkStart w:id="26" w:name="conclusion"/>
    <w:p>
      <w:pPr>
        <w:pStyle w:val="Heading2"/>
      </w:pPr>
      <w:r>
        <w:t xml:space="preserve">Conclusion</w:t>
      </w:r>
    </w:p>
    <w:p>
      <w:pPr>
        <w:pStyle w:val="FirstParagraph"/>
      </w:pPr>
      <w:r>
        <w:t xml:space="preserve">In conclusion, Teacher Secondary professionals in Japan Kyoto play a pivotal role in shaping the future of the region’s education system. By leveraging Kyoto’s cultural heritage, embracing technological innovation, and advocating for policy reforms, these educators can navigate contemporary challenges while fostering academic excellence. This abstract underscores the importance of contextualizing national education goals within local realities to ensure that secondary teachers are equipped to meet evolving societal needs. As Japan continues its trajectory toward a knowledge-based economy, the contributions of Teacher Secondary professionals in Kyoto will remain instrumental in cultivating adaptable, culturally grounded citizens capable of driving global progress.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Teacher Secondary in Japan Kyoto</dc:title>
  <dc:creator/>
  <dc:language>en</dc:language>
  <cp:keywords/>
  <dcterms:created xsi:type="dcterms:W3CDTF">2026-07-21T02:36:59Z</dcterms:created>
  <dcterms:modified xsi:type="dcterms:W3CDTF">2026-07-21T02:36:59Z</dcterms:modified>
</cp:coreProperties>
</file>

<file path=docProps/custom.xml><?xml version="1.0" encoding="utf-8"?>
<Properties xmlns="http://schemas.openxmlformats.org/officeDocument/2006/custom-properties" xmlns:vt="http://schemas.openxmlformats.org/officeDocument/2006/docPropsVTypes"/>
</file>