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775416cee16244416f86193fd8b8b5d041c0a1"/>
    <w:p>
      <w:pPr>
        <w:pStyle w:val="Heading1"/>
      </w:pPr>
      <w:r>
        <w:t xml:space="preserve">Abstract Academic Document on Teacher Secondary in Turkey Istanbul</w:t>
      </w:r>
    </w:p>
    <w:p>
      <w:pPr>
        <w:pStyle w:val="FirstParagraph"/>
      </w:pPr>
      <w:r>
        <w:rPr>
          <w:bCs/>
          <w:b/>
        </w:rPr>
        <w:t xml:space="preserve">Abstract:</w:t>
      </w:r>
      <w:r>
        <w:t xml:space="preserve"> </w:t>
      </w:r>
      <w:r>
        <w:t xml:space="preserve">This academic document provides a comprehensive analysis of the role, challenges, and significance of secondary teachers in Turkey’s Istanbul region. As a global and regional educational hub, Istanbul hosts a diverse population with varying socio-economic backgrounds, making it imperative to examine the unique dynamics of secondary education within this context. The document explores the qualifications, responsibilities, and pedagogical approaches employed by secondary school teachers in Istanbul, while also addressing systemic challenges such as resource allocation, curriculum development, and the integration of technology in teaching. Furthermore, it highlights the importance of teacher training programs tailored to Istanbul’s specific cultural and educational demands. By emphasizing these aspects, this abstract aims to contribute to the discourse on improving secondary education quality in Turkey’s largest metropolitan area.</w:t>
      </w:r>
    </w:p>
    <w:bookmarkStart w:id="20" w:name="introduction"/>
    <w:p>
      <w:pPr>
        <w:pStyle w:val="Heading2"/>
      </w:pPr>
      <w:r>
        <w:t xml:space="preserve">1. Introduction</w:t>
      </w:r>
    </w:p>
    <w:p>
      <w:pPr>
        <w:pStyle w:val="FirstParagraph"/>
      </w:pPr>
      <w:r>
        <w:t xml:space="preserve">Istanbul, as Turkey’s largest city and a crossroads of Eastern and Western cultures, plays a pivotal role in shaping the nation’s educational landscape. Secondary education, particularly at the middle school (grades 5–8) and high school levels (grades 9–12), forms the cornerstone of students’ academic development. However, this critical phase is heavily dependent on the expertise, adaptability, and dedication of secondary teachers. In Istanbul, where over 14 million residents reside and educational institutions cater to a rapidly growing student population, the role of secondary educators becomes even more complex. This document investigates how teacher qualifications, teaching methodologies, and policy frameworks in Istanbul influence the quality of secondary education while addressing challenges unique to this dynamic city.</w:t>
      </w:r>
    </w:p>
    <w:bookmarkEnd w:id="20"/>
    <w:bookmarkStart w:id="21" w:name="X79125a680b0db42dad1dc0a96a229f82e07a028"/>
    <w:p>
      <w:pPr>
        <w:pStyle w:val="Heading2"/>
      </w:pPr>
      <w:r>
        <w:t xml:space="preserve">2. Curriculum Development and Teacher Responsibilities</w:t>
      </w:r>
    </w:p>
    <w:p>
      <w:pPr>
        <w:pStyle w:val="FirstParagraph"/>
      </w:pPr>
      <w:r>
        <w:t xml:space="preserve">In Turkey, the Ministry of National Education (MEB) oversees curriculum development for secondary schools nationwide. However, Istanbul’s distinct socio-cultural environment necessitates localized adaptations. Secondary teachers in Istanbul are responsible not only for delivering national curricula but also for addressing the diverse needs of students from urban slums to affluent neighborhoods. For instance, educators often incorporate multilingual approaches to accommodate students with migrant backgrounds or use culturally relevant examples to enhance engagement. Additionally, the integration of STEM (Science, Technology, Engineering, and Mathematics) education and vocational training programs has gained prominence in recent years.</w:t>
      </w:r>
    </w:p>
    <w:p>
      <w:pPr>
        <w:pStyle w:val="BodyText"/>
      </w:pPr>
      <w:r>
        <w:t xml:space="preserve">Secondary teachers in Istanbul must also navigate the dual focus on academic achievement and holistic development. Schools in the city frequently host extracurricular activities such as sports competitions, art exhibitions, and technology workshops to foster well-rounded growth. Teachers are expected to balance these initiatives with standardized testing requirements, a challenge that often leads to increased workloads and stress.</w:t>
      </w:r>
    </w:p>
    <w:bookmarkEnd w:id="21"/>
    <w:bookmarkStart w:id="22" w:name="X22427b8cb1b5103e3c5ae4f748d90a4e693dbb7"/>
    <w:p>
      <w:pPr>
        <w:pStyle w:val="Heading2"/>
      </w:pPr>
      <w:r>
        <w:t xml:space="preserve">3. Teacher Qualifications and Professional Development</w:t>
      </w:r>
    </w:p>
    <w:p>
      <w:pPr>
        <w:pStyle w:val="FirstParagraph"/>
      </w:pPr>
      <w:r>
        <w:t xml:space="preserve">Becoming a secondary teacher in Turkey requires completion of a four-year undergraduate program at an education faculty, followed by national licensing exams. In Istanbul, where the demand for qualified educators is high, many teachers pursue further specialization through graduate programs or professional development courses. For example, institutions like Istanbul University and Boğaziçi University offer advanced training in pedagogical strategies, classroom management, and digital literacy—skills increasingly vital in modern classrooms.</w:t>
      </w:r>
    </w:p>
    <w:p>
      <w:pPr>
        <w:pStyle w:val="BodyText"/>
      </w:pPr>
      <w:r>
        <w:t xml:space="preserve">However, disparities persist between urban and rural areas within Istanbul. While schools in districts such as Şişli or Beşiktaş benefit from access to cutting-edge resources and experienced educators, institutions in peripheral neighborhoods often face shortages of qualified teachers. This imbalance raises questions about equitable resource distribution and the need for targeted recruitment policies to attract talent to underserved areas.</w:t>
      </w:r>
    </w:p>
    <w:bookmarkEnd w:id="22"/>
    <w:bookmarkStart w:id="23" w:name="X05d3ea112349b2bb8a0d121f38e28b76334bdd3"/>
    <w:p>
      <w:pPr>
        <w:pStyle w:val="Heading2"/>
      </w:pPr>
      <w:r>
        <w:t xml:space="preserve">4. Challenges Facing Secondary Teachers in Istanbul</w:t>
      </w:r>
    </w:p>
    <w:p>
      <w:pPr>
        <w:pStyle w:val="FirstParagraph"/>
      </w:pPr>
      <w:r>
        <w:t xml:space="preserve">The challenges faced by secondary teachers in Istanbul are multifaceted, ranging from overcrowded classrooms to rapid technological changes. With an average class size exceeding 30 students, many educators struggle to provide individualized attention. This is exacerbated by the city’s high student population growth rate, which has outpaced infrastructure development in recent years.</w:t>
      </w:r>
    </w:p>
    <w:p>
      <w:pPr>
        <w:pStyle w:val="BodyText"/>
      </w:pPr>
      <w:r>
        <w:t xml:space="preserve">Another significant challenge is the integration of technology into teaching. While Istanbul schools have made strides in adopting digital tools such as interactive whiteboards and e-learning platforms, gaps remain between well-funded institutions and those with limited resources. Teachers often require additional training to effectively utilize these technologies, yet professional development opportunities are not uniformly accessible across the city.</w:t>
      </w:r>
    </w:p>
    <w:p>
      <w:pPr>
        <w:pStyle w:val="BodyText"/>
      </w:pPr>
      <w:r>
        <w:t xml:space="preserve">Moreover, secondary teachers in Istanbul frequently confront societal pressures tied to academic performance. Parents in competitive districts often demand high achievement levels, leading to an overemphasis on standardized testing and a potential devaluation of creative or critical thinking skills. This environment can create burnout among educators, who may feel pressured to prioritize rote learning over holistic development.</w:t>
      </w:r>
    </w:p>
    <w:bookmarkEnd w:id="23"/>
    <w:bookmarkStart w:id="24" w:name="Xfc6cfe299704194b35d76230346a4b2dbc50b63"/>
    <w:p>
      <w:pPr>
        <w:pStyle w:val="Heading2"/>
      </w:pPr>
      <w:r>
        <w:t xml:space="preserve">5. Policy Frameworks and Institutional Support</w:t>
      </w:r>
    </w:p>
    <w:p>
      <w:pPr>
        <w:pStyle w:val="FirstParagraph"/>
      </w:pPr>
      <w:r>
        <w:t xml:space="preserve">The Turkish government has implemented several initiatives to support secondary teachers in Istanbul, including increased funding for school infrastructure, incentives for experienced educators, and partnerships with private institutions to enhance teacher training programs. For example, the “Istanbul Education Development Project” (IEDP) aims to modernize schools and provide resources such as digital libraries and STEM labs.</w:t>
      </w:r>
    </w:p>
    <w:p>
      <w:pPr>
        <w:pStyle w:val="BodyText"/>
      </w:pPr>
      <w:r>
        <w:t xml:space="preserve">Nonetheless, gaps in implementation remain. While policies emphasize equity and quality education, bureaucratic inefficiencies often hinder their effectiveness. Teachers report delays in receiving requested resources or updates on curriculum changes, which can disrupt lesson planning and reduce instructional efficacy.</w:t>
      </w:r>
    </w:p>
    <w:bookmarkEnd w:id="24"/>
    <w:bookmarkStart w:id="25" w:name="X9cf42ef2afcb992860d45475418b36541f630c7"/>
    <w:p>
      <w:pPr>
        <w:pStyle w:val="Heading2"/>
      </w:pPr>
      <w:r>
        <w:t xml:space="preserve">6. Future Directions for Secondary Education in Istanbul</w:t>
      </w:r>
    </w:p>
    <w:p>
      <w:pPr>
        <w:pStyle w:val="FirstParagraph"/>
      </w:pPr>
      <w:r>
        <w:t xml:space="preserve">To address these challenges, stakeholders must prioritize several key areas. First, increasing investment in teacher training programs tailored to Istanbul’s unique needs is critical. This includes workshops on cultural competence, technology integration, and trauma-informed teaching to support students from diverse backgrounds.</w:t>
      </w:r>
    </w:p>
    <w:p>
      <w:pPr>
        <w:pStyle w:val="BodyText"/>
      </w:pPr>
      <w:r>
        <w:t xml:space="preserve">Second, the city should adopt data-driven approaches to resource allocation. By analyzing student performance metrics and identifying underserved schools, policymakers can target interventions more effectively. Additionally, fostering collaboration between public and private institutions could help bridge gaps in access to educational technology and extracurricular opportunities.</w:t>
      </w:r>
    </w:p>
    <w:p>
      <w:pPr>
        <w:pStyle w:val="BodyText"/>
      </w:pPr>
      <w:r>
        <w:t xml:space="preserve">Finally, systemic changes are needed to reduce the pressure on secondary teachers. This includes revising standardized testing frameworks to promote balanced skill development and providing mental health support for educators navigating high-stress environments.</w:t>
      </w:r>
    </w:p>
    <w:bookmarkEnd w:id="25"/>
    <w:bookmarkStart w:id="26" w:name="conclusion"/>
    <w:p>
      <w:pPr>
        <w:pStyle w:val="Heading2"/>
      </w:pPr>
      <w:r>
        <w:t xml:space="preserve">7. Conclusion</w:t>
      </w:r>
    </w:p>
    <w:p>
      <w:pPr>
        <w:pStyle w:val="FirstParagraph"/>
      </w:pPr>
      <w:r>
        <w:t xml:space="preserve">In conclusion, secondary teachers in Istanbul play a vital role in shaping the future of Turkey’s education system. However, their effectiveness is contingent upon addressing systemic challenges such as resource disparities, technological integration, and policy implementation gaps. By investing in teacher development, promoting equity through targeted interventions, and fostering innovative pedagogical approaches, Istanbul can set a benchmark for secondary education excellence across Turkey and beyond.</w:t>
      </w:r>
    </w:p>
    <w:p>
      <w:pPr>
        <w:pStyle w:val="BodyText"/>
      </w:pPr>
      <w:r>
        <w:rPr>
          <w:bCs/>
          <w:b/>
        </w:rPr>
        <w:t xml:space="preserve">Keywords:</w:t>
      </w:r>
      <w:r>
        <w:t xml:space="preserve"> </w:t>
      </w:r>
      <w:r>
        <w:t xml:space="preserve">Abstract academic; Teacher Secondary;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2026-07-23T00:59:15Z</dcterms:created>
  <dcterms:modified xsi:type="dcterms:W3CDTF">2026-07-23T00:59:15Z</dcterms:modified>
</cp:coreProperties>
</file>

<file path=docProps/custom.xml><?xml version="1.0" encoding="utf-8"?>
<Properties xmlns="http://schemas.openxmlformats.org/officeDocument/2006/custom-properties" xmlns:vt="http://schemas.openxmlformats.org/officeDocument/2006/docPropsVTypes"/>
</file>