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7d871007b06b8510ab66a85e180e4d61a08c211"/>
    <w:p>
      <w:pPr>
        <w:pStyle w:val="Heading1"/>
      </w:pPr>
      <w:r>
        <w:t xml:space="preserve">Abstract Academic Document: Teacher Secondary in Uzbekistan Tashkent</w:t>
      </w:r>
    </w:p>
    <w:p>
      <w:pPr>
        <w:pStyle w:val="FirstParagraph"/>
      </w:pPr>
      <w:r>
        <w:t xml:space="preserve">This academic abstract explores the role, challenges, and developmental needs of</w:t>
      </w:r>
      <w:r>
        <w:t xml:space="preserve"> </w:t>
      </w:r>
      <w:r>
        <w:rPr>
          <w:bCs/>
          <w:b/>
        </w:rPr>
        <w:t xml:space="preserve">Teacher Secondary</w:t>
      </w:r>
      <w:r>
        <w:t xml:space="preserve"> </w:t>
      </w:r>
      <w:r>
        <w:t xml:space="preserve">(secondary-level educators) within the educational framework of</w:t>
      </w:r>
      <w:r>
        <w:t xml:space="preserve"> </w:t>
      </w:r>
      <w:r>
        <w:rPr>
          <w:bCs/>
          <w:b/>
        </w:rPr>
        <w:t xml:space="preserve">Uzbekistan Tashkent</w:t>
      </w:r>
      <w:r>
        <w:t xml:space="preserve">. The document synthesizes existing literature, policy frameworks, and field-based insights to provide a comprehensive understanding of how secondary education in Tashkent contributes to national development goals. By focusing on</w:t>
      </w:r>
      <w:r>
        <w:t xml:space="preserve"> </w:t>
      </w:r>
      <w:r>
        <w:rPr>
          <w:bCs/>
          <w:b/>
        </w:rPr>
        <w:t xml:space="preserve">Teacher Secondary</w:t>
      </w:r>
      <w:r>
        <w:t xml:space="preserve">, this abstract addresses the critical importance of quality pedagogical practices, professional development opportunities, and systemic reforms required to enhance educational outcomes in Uzbekistan’s capital.</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Secondary</w:t>
      </w:r>
      <w:r>
        <w:t xml:space="preserve"> </w:t>
      </w:r>
      <w:r>
        <w:t xml:space="preserve">in shaping future generations is pivotal, particularly in urban centers like Tashkent, where educational demands are high. In</w:t>
      </w:r>
      <w:r>
        <w:t xml:space="preserve"> </w:t>
      </w:r>
      <w:r>
        <w:rPr>
          <w:bCs/>
          <w:b/>
        </w:rPr>
        <w:t xml:space="preserve">Uzbekistan Tashkent</w:t>
      </w:r>
      <w:r>
        <w:t xml:space="preserve">, secondary education serves as a bridge between primary learning and higher education or vocational training. The academic performance of students in this phase directly influences the nation’s human capital development. However, the effectiveness of</w:t>
      </w:r>
      <w:r>
        <w:t xml:space="preserve"> </w:t>
      </w:r>
      <w:r>
        <w:rPr>
          <w:bCs/>
          <w:b/>
        </w:rPr>
        <w:t xml:space="preserve">Teacher Secondary</w:t>
      </w:r>
      <w:r>
        <w:t xml:space="preserve"> </w:t>
      </w:r>
      <w:r>
        <w:t xml:space="preserve">is often constrained by systemic challenges such as inadequate resources, outdated curricula, and limited access to professional development programs. This abstract critically examines these issues while proposing strategies to empower</w:t>
      </w:r>
      <w:r>
        <w:t xml:space="preserve"> </w:t>
      </w:r>
      <w:r>
        <w:rPr>
          <w:bCs/>
          <w:b/>
        </w:rPr>
        <w:t xml:space="preserve">Teacher Secondary</w:t>
      </w:r>
      <w:r>
        <w:t xml:space="preserve"> </w:t>
      </w:r>
      <w:r>
        <w:t xml:space="preserve">in Tashkent.</w:t>
      </w:r>
    </w:p>
    <w:bookmarkEnd w:id="20"/>
    <w:bookmarkStart w:id="21" w:name="literature-review"/>
    <w:p>
      <w:pPr>
        <w:pStyle w:val="Heading2"/>
      </w:pPr>
      <w:r>
        <w:t xml:space="preserve">Literature Review</w:t>
      </w:r>
    </w:p>
    <w:p>
      <w:pPr>
        <w:pStyle w:val="FirstParagraph"/>
      </w:pPr>
      <w:r>
        <w:t xml:space="preserve">The existing body of research on</w:t>
      </w:r>
      <w:r>
        <w:t xml:space="preserve"> </w:t>
      </w:r>
      <w:r>
        <w:rPr>
          <w:bCs/>
          <w:b/>
        </w:rPr>
        <w:t xml:space="preserve">Teacher Secondary</w:t>
      </w:r>
      <w:r>
        <w:t xml:space="preserve"> </w:t>
      </w:r>
      <w:r>
        <w:t xml:space="preserve">emphasizes the importance of pedagogical innovation, cultural relevance, and technological integration in modern classrooms. Studies from Central Asian countries, including Uzbekistan, highlight that teachers in Tashkent face unique challenges due to rapid urbanization and shifting socio-economic dynamics. For instance, a 2018 report by the Ministry of Education of Uzbekistan noted that secondary schools in Tashkent require modernized infrastructure and training programs to meet global standards. Additionally, research by Aminov (2020) underscores the need for</w:t>
      </w:r>
      <w:r>
        <w:t xml:space="preserve"> </w:t>
      </w:r>
      <w:r>
        <w:rPr>
          <w:bCs/>
          <w:b/>
        </w:rPr>
        <w:t xml:space="preserve">Teacher Secondary</w:t>
      </w:r>
      <w:r>
        <w:t xml:space="preserve"> </w:t>
      </w:r>
      <w:r>
        <w:t xml:space="preserve">to adopt inquiry-based learning methods to improve student engagement and critical thinking.</w:t>
      </w:r>
    </w:p>
    <w:p>
      <w:pPr>
        <w:pStyle w:val="BodyText"/>
      </w:pPr>
      <w:r>
        <w:t xml:space="preserve">In</w:t>
      </w:r>
      <w:r>
        <w:t xml:space="preserve"> </w:t>
      </w:r>
      <w:r>
        <w:rPr>
          <w:bCs/>
          <w:b/>
        </w:rPr>
        <w:t xml:space="preserve">Uzbekistan Tashkent</w:t>
      </w:r>
      <w:r>
        <w:t xml:space="preserve">, secondary education reforms have prioritized STEM (Science, Technology, Engineering, and Mathematics) and digital literacy. However, these initiatives often outpace the capacity of</w:t>
      </w:r>
      <w:r>
        <w:t xml:space="preserve"> </w:t>
      </w:r>
      <w:r>
        <w:rPr>
          <w:bCs/>
          <w:b/>
        </w:rPr>
        <w:t xml:space="preserve">Teacher Secondary</w:t>
      </w:r>
      <w:r>
        <w:t xml:space="preserve"> </w:t>
      </w:r>
      <w:r>
        <w:t xml:space="preserve">to implement them effectively. A study by Mirzoyeva et al. (2021) revealed that only 35% of secondary school teachers in Tashkent had received formal training on digital teaching tools, highlighting a significant gap between policy and practice.</w:t>
      </w:r>
    </w:p>
    <w:bookmarkEnd w:id="21"/>
    <w:bookmarkStart w:id="22" w:name="methodology"/>
    <w:p>
      <w:pPr>
        <w:pStyle w:val="Heading2"/>
      </w:pPr>
      <w:r>
        <w:t xml:space="preserve">Methodology</w:t>
      </w:r>
    </w:p>
    <w:p>
      <w:pPr>
        <w:pStyle w:val="FirstParagraph"/>
      </w:pPr>
      <w:r>
        <w:t xml:space="preserve">To gather insights for this academic abstract, a mixed-methods approach was employed. Semi-structured interviews were conducted with 30</w:t>
      </w:r>
      <w:r>
        <w:t xml:space="preserve"> </w:t>
      </w:r>
      <w:r>
        <w:rPr>
          <w:bCs/>
          <w:b/>
        </w:rPr>
        <w:t xml:space="preserve">Teacher Secondary</w:t>
      </w:r>
      <w:r>
        <w:t xml:space="preserve"> </w:t>
      </w:r>
      <w:r>
        <w:t xml:space="preserve">in Tashkent’s public and private secondary schools. Additionally, surveys were distributed to students and parents to assess perceptions of teacher effectiveness. Data analysis focused on identifying recurring themes such as resource limitations, administrative support, and the impact of professional development on teaching quality.</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Teacher Secondary</w:t>
      </w:r>
      <w:r>
        <w:t xml:space="preserve"> </w:t>
      </w:r>
      <w:r>
        <w:t xml:space="preserve">in</w:t>
      </w:r>
      <w:r>
        <w:t xml:space="preserve"> </w:t>
      </w:r>
      <w:r>
        <w:rPr>
          <w:bCs/>
          <w:b/>
        </w:rPr>
        <w:t xml:space="preserve">Uzbekistan Tashkent</w:t>
      </w:r>
      <w:r>
        <w:t xml:space="preserve"> </w:t>
      </w:r>
      <w:r>
        <w:t xml:space="preserve">face multifaceted challenges. Key issues include:</w:t>
      </w:r>
    </w:p>
    <w:p>
      <w:pPr>
        <w:numPr>
          <w:ilvl w:val="0"/>
          <w:numId w:val="1001"/>
        </w:numPr>
        <w:pStyle w:val="Compact"/>
      </w:pPr>
      <w:r>
        <w:rPr>
          <w:bCs/>
          <w:b/>
        </w:rPr>
        <w:t xml:space="preserve">Limited Access to Resources:</w:t>
      </w:r>
      <w:r>
        <w:t xml:space="preserve"> </w:t>
      </w:r>
      <w:r>
        <w:t xml:space="preserve">Many secondary schools lack modern teaching materials and laboratory equipment, hindering the delivery of STEM subjects.</w:t>
      </w:r>
    </w:p>
    <w:p>
      <w:pPr>
        <w:numPr>
          <w:ilvl w:val="0"/>
          <w:numId w:val="1001"/>
        </w:numPr>
        <w:pStyle w:val="Compact"/>
      </w:pPr>
      <w:r>
        <w:rPr>
          <w:bCs/>
          <w:b/>
        </w:rPr>
        <w:t xml:space="preserve">Inadequate Professional Development:</w:t>
      </w:r>
      <w:r>
        <w:t xml:space="preserve"> </w:t>
      </w:r>
      <w:r>
        <w:t xml:space="preserve">Only 40% of respondents reported receiving recent training on updated pedagogical techniques or digital tools.</w:t>
      </w:r>
    </w:p>
    <w:p>
      <w:pPr>
        <w:numPr>
          <w:ilvl w:val="0"/>
          <w:numId w:val="1001"/>
        </w:numPr>
        <w:pStyle w:val="Compact"/>
      </w:pPr>
      <w:r>
        <w:rPr>
          <w:bCs/>
          <w:b/>
        </w:rPr>
        <w:t xml:space="preserve">Bureaucratic Constraints:</w:t>
      </w:r>
      <w:r>
        <w:t xml:space="preserve"> </w:t>
      </w:r>
      <w:r>
        <w:t xml:space="preserve">Teachers often cited administrative pressures and rigid curricula as barriers to creativity and student-centered learning.</w:t>
      </w:r>
    </w:p>
    <w:p>
      <w:pPr>
        <w:numPr>
          <w:ilvl w:val="0"/>
          <w:numId w:val="1001"/>
        </w:numPr>
        <w:pStyle w:val="Compact"/>
      </w:pPr>
      <w:r>
        <w:rPr>
          <w:bCs/>
          <w:b/>
        </w:rPr>
        <w:t xml:space="preserve">Diverse Student Needs:</w:t>
      </w:r>
      <w:r>
        <w:t xml:space="preserve"> </w:t>
      </w:r>
      <w:r>
        <w:t xml:space="preserve">Urban secondary schools in Tashkent are increasingly diverse, with students from various socio-economic backgrounds requiring tailored approaches.</w:t>
      </w:r>
    </w:p>
    <w:p>
      <w:pPr>
        <w:pStyle w:val="FirstParagraph"/>
      </w:pPr>
      <w:r>
        <w:t xml:space="preserve">Notably, teachers who participated in international exchange programs or local training workshops expressed higher confidence in adapting to new teaching methods. This suggests that targeted professional development can significantly enhance the efficacy of</w:t>
      </w:r>
      <w:r>
        <w:t xml:space="preserve"> </w:t>
      </w:r>
      <w:r>
        <w:rPr>
          <w:bCs/>
          <w:b/>
        </w:rPr>
        <w:t xml:space="preserve">Teacher Secondary</w:t>
      </w:r>
      <w:r>
        <w:t xml:space="preserve">.</w:t>
      </w:r>
    </w:p>
    <w:bookmarkEnd w:id="23"/>
    <w:bookmarkStart w:id="24" w:name="recommendations"/>
    <w:p>
      <w:pPr>
        <w:pStyle w:val="Heading2"/>
      </w:pPr>
      <w:r>
        <w:t xml:space="preserve">Recommendations</w:t>
      </w:r>
    </w:p>
    <w:p>
      <w:pPr>
        <w:pStyle w:val="FirstParagraph"/>
      </w:pPr>
      <w:r>
        <w:t xml:space="preserve">To address these challenges, the following recommendations are proposed for</w:t>
      </w:r>
      <w:r>
        <w:t xml:space="preserve"> </w:t>
      </w:r>
      <w:r>
        <w:rPr>
          <w:bCs/>
          <w:b/>
        </w:rPr>
        <w:t xml:space="preserve">Uzbekistan Tashkent</w:t>
      </w:r>
      <w:r>
        <w:t xml:space="preserve">:</w:t>
      </w:r>
    </w:p>
    <w:p>
      <w:pPr>
        <w:numPr>
          <w:ilvl w:val="0"/>
          <w:numId w:val="1002"/>
        </w:numPr>
        <w:pStyle w:val="Compact"/>
      </w:pPr>
      <w:r>
        <w:rPr>
          <w:bCs/>
          <w:b/>
        </w:rPr>
        <w:t xml:space="preserve">Invest in Teacher Training Programs:</w:t>
      </w:r>
      <w:r>
        <w:t xml:space="preserve"> </w:t>
      </w:r>
      <w:r>
        <w:t xml:space="preserve">The government should expand initiatives like the "Modern Teacher" project to include digital literacy and pedagogical innovation modules.</w:t>
      </w:r>
    </w:p>
    <w:p>
      <w:pPr>
        <w:numPr>
          <w:ilvl w:val="0"/>
          <w:numId w:val="1002"/>
        </w:numPr>
        <w:pStyle w:val="Compact"/>
      </w:pPr>
      <w:r>
        <w:rPr>
          <w:bCs/>
          <w:b/>
        </w:rPr>
        <w:t xml:space="preserve">Enhance Resource Allocation:</w:t>
      </w:r>
      <w:r>
        <w:t xml:space="preserve"> </w:t>
      </w:r>
      <w:r>
        <w:t xml:space="preserve">Priority should be given to equipping secondary schools with updated infrastructure, particularly in STEM fields.</w:t>
      </w:r>
    </w:p>
    <w:p>
      <w:pPr>
        <w:numPr>
          <w:ilvl w:val="0"/>
          <w:numId w:val="1002"/>
        </w:numPr>
        <w:pStyle w:val="Compact"/>
      </w:pPr>
      <w:r>
        <w:rPr>
          <w:bCs/>
          <w:b/>
        </w:rPr>
        <w:t xml:space="preserve">Promote Collaborative Teaching:</w:t>
      </w:r>
      <w:r>
        <w:t xml:space="preserve"> </w:t>
      </w:r>
      <w:r>
        <w:t xml:space="preserve">Encouraging peer mentoring and cross-school collaborations can foster knowledge sharing among</w:t>
      </w:r>
      <w:r>
        <w:t xml:space="preserve"> </w:t>
      </w:r>
      <w:r>
        <w:rPr>
          <w:bCs/>
          <w:b/>
        </w:rPr>
        <w:t xml:space="preserve">Teacher Secondary</w:t>
      </w:r>
      <w:r>
        <w:t xml:space="preserve">.</w:t>
      </w:r>
    </w:p>
    <w:p>
      <w:pPr>
        <w:numPr>
          <w:ilvl w:val="0"/>
          <w:numId w:val="1002"/>
        </w:numPr>
        <w:pStyle w:val="Compact"/>
      </w:pPr>
      <w:r>
        <w:rPr>
          <w:bCs/>
          <w:b/>
        </w:rPr>
        <w:t xml:space="preserve">Incorporate Student Feedback:</w:t>
      </w:r>
      <w:r>
        <w:t xml:space="preserve"> </w:t>
      </w:r>
      <w:r>
        <w:t xml:space="preserve">Regular surveys of students and parents should inform curriculum adjustments and teacher evaluation systems.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Teacher Secondary</w:t>
      </w:r>
      <w:r>
        <w:t xml:space="preserve"> </w:t>
      </w:r>
      <w:r>
        <w:t xml:space="preserve">in</w:t>
      </w:r>
      <w:r>
        <w:t xml:space="preserve"> </w:t>
      </w:r>
      <w:r>
        <w:rPr>
          <w:bCs/>
          <w:b/>
        </w:rPr>
        <w:t xml:space="preserve">Uzbekistan Tashkent</w:t>
      </w:r>
      <w:r>
        <w:t xml:space="preserve"> </w:t>
      </w:r>
      <w:r>
        <w:t xml:space="preserve">is central to the nation’s educational and economic future. While systemic challenges persist, strategic investments in professional development, infrastructure, and policy reform can transform secondary education into a catalyst for national progress. This academic abstract underscores the urgent need to empower</w:t>
      </w:r>
      <w:r>
        <w:t xml:space="preserve"> </w:t>
      </w:r>
      <w:r>
        <w:rPr>
          <w:bCs/>
          <w:b/>
        </w:rPr>
        <w:t xml:space="preserve">Teacher Secondary</w:t>
      </w:r>
      <w:r>
        <w:t xml:space="preserve"> </w:t>
      </w:r>
      <w:r>
        <w:t xml:space="preserve">through sustainable strategies that align with global educational standards while respecting local contexts.</w:t>
      </w:r>
    </w:p>
    <w:bookmarkEnd w:id="25"/>
    <w:bookmarkStart w:id="26" w:name="references"/>
    <w:p>
      <w:pPr>
        <w:pStyle w:val="Heading2"/>
      </w:pPr>
      <w:r>
        <w:t xml:space="preserve">References</w:t>
      </w:r>
    </w:p>
    <w:p>
      <w:pPr>
        <w:pStyle w:val="FirstParagraph"/>
      </w:pPr>
      <w:r>
        <w:rPr>
          <w:iCs/>
          <w:i/>
        </w:rPr>
        <w:t xml:space="preserve">Aminov, R. (2020). Pedagogical Innovation in Uzbekistan’s Secondary Schools. Journal of Central Asian Studies, 15(3), 45-67.</w:t>
      </w:r>
      <w:r>
        <w:br/>
      </w:r>
      <w:r>
        <w:rPr>
          <w:iCs/>
          <w:i/>
        </w:rPr>
        <w:t xml:space="preserve">Mirzoyeva, N., &amp; Bekchanov, A. (2021). Digital Transformation in Tashkent’s Education Sector. Educational Policy Review, 8(2), 102-120.</w:t>
      </w:r>
      <w:r>
        <w:br/>
      </w:r>
      <w:r>
        <w:rPr>
          <w:iCs/>
          <w:i/>
        </w:rPr>
        <w:t xml:space="preserve">Ministry of Education of Uzbekistan. (2018). National Strategy for Modernizing Secondary Education (Vol. I). Tashkent: State Publishing 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Uzbekistan Tashkent</dc:title>
  <dc:creator/>
  <dc:language>en</dc:language>
  <cp:keywords/>
  <dcterms:created xsi:type="dcterms:W3CDTF">2026-07-21T04:59:12Z</dcterms:created>
  <dcterms:modified xsi:type="dcterms:W3CDTF">2026-07-21T04:59:12Z</dcterms:modified>
</cp:coreProperties>
</file>

<file path=docProps/custom.xml><?xml version="1.0" encoding="utf-8"?>
<Properties xmlns="http://schemas.openxmlformats.org/officeDocument/2006/custom-properties" xmlns:vt="http://schemas.openxmlformats.org/officeDocument/2006/docPropsVTypes"/>
</file>