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0" w:name="X6d014c3d486ba80f061acbcacbe3195c1895f41"/>
    <w:p>
      <w:pPr>
        <w:pStyle w:val="Heading1"/>
      </w:pPr>
      <w:r>
        <w:t xml:space="preserve">Abstract Academic Document: The Role of Videographers in Iraq, Baghdad</w:t>
      </w:r>
    </w:p>
    <w:p>
      <w:pPr>
        <w:pStyle w:val="FirstParagraph"/>
      </w:pPr>
      <w:r>
        <w:rPr>
          <w:bCs/>
          <w:b/>
        </w:rPr>
        <w:t xml:space="preserve">Abstract academic:</w:t>
      </w:r>
    </w:p>
    <w:p>
      <w:pPr>
        <w:pStyle w:val="BodyText"/>
      </w:pPr>
      <w:r>
        <w:t xml:space="preserve">The role of videographers has evolved significantly in the context of global media production, yet their contributions remain underexplored in specific geopolitical regions such as Iraq’s capital city, Baghdad. This abstract academic document examines the unique challenges and opportunities faced by videographers operating within Baghdad’s socio-political landscape. It highlights how videographers serve as both chroniclers of historical events and catalysts for social discourse in a region marked by decades of conflict, cultural transformation, and post-war reconstruction efforts. By focusing on Baghdad as a case study, this document underscores the intersection of professional practice, technological adaptation, and socio-cultural dynamics that define the work of videographers in Iraq.</w:t>
      </w:r>
    </w:p>
    <w:p>
      <w:pPr>
        <w:pStyle w:val="BodyText"/>
      </w:pPr>
      <w:r>
        <w:t xml:space="preserve">Videographers in Baghdad operate within an environment characterized by complex interplay between state authority, media regulation, and grassroots storytelling. The city’s history as a focal point of regional conflict—from the Gulf War to the rise and fall of ISIS—has created a unique demand for visual documentation of both crisis and recovery. Videographers here are not merely content creators but also witnesses to historical narratives that shape national identity. Their work often involves navigating security threats, ethical dilemmas, and logistical challenges such as restricted access to certain areas or censorship imposed by state or non-state actors.</w:t>
      </w:r>
    </w:p>
    <w:p>
      <w:pPr>
        <w:pStyle w:val="BodyText"/>
      </w:pPr>
      <w:r>
        <w:t xml:space="preserve">The academic significance of this study lies in its exploration of how videographers adapt their methodologies to address the specificities of Baghdad’s context. Unlike videographers in more stable environments, those working in Iraq must contend with the dual pressures of producing visually compelling content while ensuring their safety and compliance with local regulations. This includes the use of covert filming techniques, reliance on digital tools for real-time broadcasting, and collaboration with international media outlets to bypass restrictions imposed by authoritarian regimes.</w:t>
      </w:r>
    </w:p>
    <w:p>
      <w:pPr>
        <w:pStyle w:val="BodyText"/>
      </w:pPr>
      <w:r>
        <w:t xml:space="preserve">Cultural sensitivity is another critical factor in this academic analysis. Videographers in Baghdad must navigate a society where traditional norms intersect with modern media practices. The portrayal of sensitive topics—such as sectarian violence, political protests, or gender-related issues—requires careful consideration to avoid misrepresentation or backlash from local communities. This study argues that videographers act as cultural ambassadors, translating complex socio-political realities into accessible visual narratives that resonate both locally and globally.</w:t>
      </w:r>
    </w:p>
    <w:p>
      <w:pPr>
        <w:pStyle w:val="BodyText"/>
      </w:pPr>
      <w:r>
        <w:t xml:space="preserve">Technological innovation has also reshaped the role of videographers in Baghdad. The proliferation of smartphones equipped with high-resolution cameras has democratized video production, enabling independent filmmakers and citizen journalists to document events in real time. However, this accessibility comes with risks, such as the potential for footage to be weaponized by hostile groups or misinterpreted by international audiences. Academic research must therefore address how videographers balance technological empowerment with ethical responsibility in a volatile environment.</w:t>
      </w:r>
    </w:p>
    <w:p>
      <w:pPr>
        <w:pStyle w:val="BodyText"/>
      </w:pPr>
      <w:r>
        <w:t xml:space="preserve">Furthermore, the economic dimension of videography in Baghdad warrants academic attention. Many local videographers operate on limited budgets, often working as freelancers for international media organizations or leveraging social media platforms to reach global audiences. This informal sector raises questions about labor rights, intellectual property ownership, and the sustainability of creative work in a region where formal media institutions are fragmented.</w:t>
      </w:r>
    </w:p>
    <w:p>
      <w:pPr>
        <w:pStyle w:val="BodyText"/>
      </w:pPr>
      <w:r>
        <w:t xml:space="preserve">This document also emphasizes the pedagogical implications of videography training programs in Iraq. As Baghdad emerges from decades of conflict, there is a growing need for educational initiatives that equip aspiring videographers with skills to navigate both technical and ethical challenges. Academic institutions in Iraq must integrate curricula that address conflict journalism, visual ethics, and cross-cultural communication—themes directly relevant to the work of videographers in Baghdad.</w:t>
      </w:r>
    </w:p>
    <w:p>
      <w:pPr>
        <w:pStyle w:val="BodyText"/>
      </w:pPr>
      <w:r>
        <w:t xml:space="preserve">In conclusion, the role of videographers in Baghdad is a multifaceted phenomenon that reflects broader trends in global media practices while being deeply rooted in Iraq’s specific historical and cultural context. This abstract academic document positions videography as a vital discipline within Iraq’s post-war development narrative. It calls for further research into how videographers contribute to social cohesion, historical memory, and international awareness of Baghdad’s realities.</w:t>
      </w:r>
    </w:p>
    <w:p>
      <w:pPr>
        <w:pStyle w:val="BodyText"/>
      </w:pPr>
      <w:r>
        <w:t xml:space="preserve">Keywords: Videographer, Iraq Baghdad, media ethics, conflict documentation, cultural representation.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Videographers in Iraq Baghdad</dc:title>
  <dc:creator/>
  <dc:language>en</dc:language>
  <cp:keywords/>
  <dcterms:created xsi:type="dcterms:W3CDTF">2026-07-22T03:15:59Z</dcterms:created>
  <dcterms:modified xsi:type="dcterms:W3CDTF">2026-07-22T03:15:59Z</dcterms:modified>
</cp:coreProperties>
</file>

<file path=docProps/custom.xml><?xml version="1.0" encoding="utf-8"?>
<Properties xmlns="http://schemas.openxmlformats.org/officeDocument/2006/custom-properties" xmlns:vt="http://schemas.openxmlformats.org/officeDocument/2006/docPropsVTypes"/>
</file>