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r>
        <w:t xml:space="preserve"> </w:t>
      </w:r>
      <w:r>
        <w:t xml:space="preserve">as</w:t>
      </w:r>
      <w:r>
        <w:t xml:space="preserve"> </w:t>
      </w:r>
      <w:r>
        <w:t xml:space="preserve">a</w:t>
      </w:r>
      <w:r>
        <w:t xml:space="preserve"> </w:t>
      </w:r>
      <w:r>
        <w:t xml:space="preserve">Global</w:t>
      </w:r>
      <w:r>
        <w:t xml:space="preserve"> </w:t>
      </w:r>
      <w:r>
        <w:t xml:space="preserve">Hub</w:t>
      </w:r>
    </w:p>
    <w:bookmarkStart w:id="27" w:name="X7d0c60efc54e4b4e6e231912ba33b6754c03a0e"/>
    <w:p>
      <w:pPr>
        <w:pStyle w:val="Heading1"/>
      </w:pPr>
      <w:r>
        <w:t xml:space="preserve">The Evolving Paradigm of the Academic Researcher in Australia: Melbourne as a Global Hub</w:t>
      </w:r>
    </w:p>
    <w:p>
      <w:pPr>
        <w:pStyle w:val="FirstParagraph"/>
      </w:pPr>
      <w:r>
        <w:rPr>
          <w:bCs/>
          <w:b/>
        </w:rPr>
        <w:t xml:space="preserve">Jordan A. Mitchell</w:t>
      </w:r>
      <w:r>
        <w:br/>
      </w:r>
      <w:r>
        <w:t xml:space="preserve">Centre for Advanced Metropolitan Studies, University of Melbourne</w:t>
      </w:r>
      <w:r>
        <w:br/>
      </w:r>
      <w:r>
        <w:t xml:space="preserve">Parkville, Victoria 3010, Australia</w:t>
      </w:r>
    </w:p>
    <w:p>
      <w:pPr>
        <w:pStyle w:val="BodyText"/>
      </w:pPr>
      <w:r>
        <w:t xml:space="preserve">Correspondence regarding this article should be addressed to the author at j.mitchell@unimelb.edu.au.</w:t>
      </w:r>
    </w:p>
    <w:bookmarkStart w:id="20" w:name="abstract"/>
    <w:p>
      <w:pPr>
        <w:pStyle w:val="Heading2"/>
      </w:pPr>
      <w:r>
        <w:t xml:space="preserve">Abstract</w:t>
      </w:r>
    </w:p>
    <w:p>
      <w:pPr>
        <w:pStyle w:val="FirstParagraph"/>
      </w:pPr>
      <w:r>
        <w:rPr>
          <w:bCs/>
          <w:b/>
        </w:rPr>
        <w:t xml:space="preserve">Abstract:</w:t>
      </w:r>
    </w:p>
    <w:p>
      <w:pPr>
        <w:pStyle w:val="BodyText"/>
      </w:pPr>
      <w:r>
        <w:t xml:space="preserve">This article examines the contemporary role, challenges, and strategic positioning of the Academic Researcher within the higher education ecosystem of Australia. Specifically focusing on Melbourne as a premier global research hub, we analyze how institutional frameworks in Victoria are reshaping traditional academic identities. The study investigates the tension between competitive funding mechanisms (such as those administered by ARC and NHMRC) and interdisciplinary collaboration mandates. By reviewing recent policy shifts in Australia’s national science strategy, this paper argues that the modern Academic Researcher must balance rigorous methodological independence with collaborative network integration to sustain high-impact outputs.</w:t>
      </w:r>
    </w:p>
    <w:p>
      <w:pPr>
        <w:pStyle w:val="BodyText"/>
      </w:pPr>
      <w:r>
        <w:rPr>
          <w:bCs/>
          <w:b/>
        </w:rPr>
        <w:t xml:space="preserve">Keywords:</w:t>
      </w:r>
    </w:p>
    <w:p>
      <w:pPr>
        <w:numPr>
          <w:ilvl w:val="0"/>
          <w:numId w:val="1001"/>
        </w:numPr>
        <w:pStyle w:val="Compact"/>
      </w:pPr>
      <w:r>
        <w:t xml:space="preserve">Australia</w:t>
      </w:r>
    </w:p>
    <w:p>
      <w:pPr>
        <w:numPr>
          <w:ilvl w:val="0"/>
          <w:numId w:val="1001"/>
        </w:numPr>
        <w:pStyle w:val="Compact"/>
      </w:pPr>
      <w:r>
        <w:t xml:space="preserve">Melbourne</w:t>
      </w:r>
    </w:p>
    <w:p>
      <w:pPr>
        <w:numPr>
          <w:ilvl w:val="0"/>
          <w:numId w:val="1001"/>
        </w:numPr>
        <w:pStyle w:val="Compact"/>
      </w:pPr>
      <w:r>
        <w:t xml:space="preserve">Academic Researcher</w:t>
      </w:r>
    </w:p>
    <w:p>
      <w:pPr>
        <w:numPr>
          <w:ilvl w:val="0"/>
          <w:numId w:val="1001"/>
        </w:numPr>
        <w:pStyle w:val="Compact"/>
      </w:pPr>
      <w:r>
        <w:t xml:space="preserve">Publish or Perish Paradigm</w:t>
      </w:r>
    </w:p>
    <w:bookmarkEnd w:id="20"/>
    <w:bookmarkStart w:id="21" w:name="Xad9e2ee7889b9510e2910ed03180615cc6ec9fc"/>
    <w:p>
      <w:pPr>
        <w:pStyle w:val="Heading2"/>
      </w:pPr>
      <w:r>
        <w:t xml:space="preserve">I. Introduction: The Academic Researcher in the Australian Context</w:t>
      </w:r>
    </w:p>
    <w:p>
      <w:pPr>
        <w:pStyle w:val="FirstParagraph"/>
      </w:pPr>
      <w:r>
        <w:t xml:space="preserve">In recent decades, the landscape of higher education has undergone profound transformation globally, but nowhere is this shift more pronounced than within Australia. The nation has strategically positioned itself as a global leader in knowledge production and innovation. Central to this ambition is the figure of the</w:t>
      </w:r>
      <w:r>
        <w:t xml:space="preserve"> </w:t>
      </w:r>
      <w:r>
        <w:rPr>
          <w:bCs/>
          <w:b/>
        </w:rPr>
        <w:t xml:space="preserve">Australian Academic Researcher</w:t>
      </w:r>
      <w:r>
        <w:t xml:space="preserve">. Historically viewed primarily as an educator and isolated investigator, today’s researcher operates within a complex matrix of administrative oversight, international collaboration requirements, and intense peer competition for limited research grants.</w:t>
      </w:r>
    </w:p>
    <w:p>
      <w:pPr>
        <w:pStyle w:val="BodyText"/>
      </w:pPr>
      <w:r>
        <w:t xml:space="preserve">Melbourne stands at the epicenter of this academic evolution. As one of Australia’s largest cities and its cultural capital, Melbourne hosts major institutions including the University of Melbourne, Monash University, RMIT (Royal Melbourne Institute of Technology), Deakin University, and Swinburne. Collectively forming what is often termed "Melbourne's Knowledge Precincts," these institutions create a dense ecosystem for scientific inquiry. For the</w:t>
      </w:r>
      <w:r>
        <w:t xml:space="preserve"> </w:t>
      </w:r>
      <w:r>
        <w:rPr>
          <w:bCs/>
          <w:b/>
        </w:rPr>
        <w:t xml:space="preserve">Academic Researcher</w:t>
      </w:r>
      <w:r>
        <w:t xml:space="preserve">, working in this environment implies operating within a highly concentrated cluster of intellectual capital that offers unparalleled access to cross-disciplinary opportunities while demanding rigorous performance metrics.</w:t>
      </w:r>
    </w:p>
    <w:bookmarkEnd w:id="21"/>
    <w:bookmarkStart w:id="22" w:name="Xc593eeb64b765bd433c9657463c1a08dd491c51"/>
    <w:p>
      <w:pPr>
        <w:pStyle w:val="Heading2"/>
      </w:pPr>
      <w:r>
        <w:t xml:space="preserve">II. The Institutional Ecosystem: Australia's Research Infrastructure</w:t>
      </w:r>
    </w:p>
    <w:p>
      <w:pPr>
        <w:pStyle w:val="FirstParagraph"/>
      </w:pPr>
      <w:r>
        <w:t xml:space="preserve">To understand the trajectory of the Academic Researcher, one must first contextualize their environment within Australia's national research strategy. The Australian Government, through mechanisms such as the Australian Research Council (ARC) and National Health and Medical Research Council (NHMRC), sets benchmarks that dictate funding priorities. For researchers based in cities like Melbourne, adherence to these national goals—ranging from clean energy transitions to public health resilience—is paramount for securing tenure-track positions or permanent academic appointments.</w:t>
      </w:r>
    </w:p>
    <w:p>
      <w:pPr>
        <w:pStyle w:val="BodyText"/>
      </w:pPr>
      <w:r>
        <w:t xml:space="preserve">Melbourne’s universities are heavily invested in building world-class facilities. From the bio-medical hubs along the Yarra River (specifically at Parkville) to advanced manufacturing centers at RMIT, infrastructure investment signals where government expects researchers to focus. Consequently, a modern Academic Researcher in Melbourne is increasingly expected to function not merely as an individual scholar but as a project lead capable of managing large consortia grants involving multiple institutions across Australia and international partners.</w:t>
      </w:r>
    </w:p>
    <w:bookmarkEnd w:id="22"/>
    <w:bookmarkStart w:id="23" w:name="X47602dbfc6dd5a548894c51de7212f771e2bebb"/>
    <w:p>
      <w:pPr>
        <w:pStyle w:val="Heading2"/>
      </w:pPr>
      <w:r>
        <w:t xml:space="preserve">III. Methodological Shifts and Interdisciplinary Mandates</w:t>
      </w:r>
    </w:p>
    <w:p>
      <w:pPr>
        <w:pStyle w:val="FirstParagraph"/>
      </w:pPr>
      <w:r>
        <w:t xml:space="preserve">A defining characteristic of contemporary Australian academia is the push toward interdisciplinary work. The traditional siloed approach—where a single discipline operates independently—is being phased out in favor of integrated problem-solving frameworks. In Melbourne, this trend is particularly visible in environmental science and urban planning research addressing climate change impacts on coastal cities.</w:t>
      </w:r>
    </w:p>
    <w:p>
      <w:pPr>
        <w:pStyle w:val="BodyText"/>
      </w:pPr>
      <w:r>
        <w:t xml:space="preserve">This shift presents unique challenges for the Academic Researcher. Navigating diverse methodologies requires broad literacy across various fields—from data science to sociology—which can dilute specialized expertise if not managed carefully. However, institutions in Melbourne actively encourage "boundary-spanning" activities through seed funding programs designed specifically for cross-faculty collaborations between arts/humanities and STEM (Science, Technology, Engineering, and Mathematics) faculties.</w:t>
      </w:r>
    </w:p>
    <w:bookmarkEnd w:id="23"/>
    <w:bookmarkStart w:id="24" w:name="Xbe151547f2d34ebe3a112d1568482db6ec80879"/>
    <w:p>
      <w:pPr>
        <w:pStyle w:val="Heading2"/>
      </w:pPr>
      <w:r>
        <w:t xml:space="preserve">IV. Challenges Facing the Contemporary Academic Researcher</w:t>
      </w:r>
    </w:p>
    <w:p>
      <w:pPr>
        <w:pStyle w:val="FirstParagraph"/>
      </w:pPr>
      <w:r>
        <w:t xml:space="preserve">Despite the resources available in Melbourne’s academic hubs, several significant pressures persist for researchers:</w:t>
      </w:r>
    </w:p>
    <w:p>
      <w:pPr>
        <w:numPr>
          <w:ilvl w:val="0"/>
          <w:numId w:val="1002"/>
        </w:numPr>
        <w:pStyle w:val="Compact"/>
      </w:pPr>
      <w:r>
        <w:rPr>
          <w:bCs/>
          <w:b/>
        </w:rPr>
        <w:t xml:space="preserve">The "Publish or Perish" Culture:</w:t>
      </w:r>
    </w:p>
    <w:p>
      <w:pPr>
        <w:numPr>
          <w:ilvl w:val="0"/>
          <w:numId w:val="1002"/>
        </w:numPr>
        <w:pStyle w:val="Compact"/>
      </w:pPr>
      <w:r>
        <w:rPr>
          <w:bCs/>
          <w:b/>
        </w:rPr>
        <w:t xml:space="preserve">Funding Scarcity:</w:t>
      </w:r>
    </w:p>
    <w:p>
      <w:pPr>
        <w:numPr>
          <w:ilvl w:val="0"/>
          <w:numId w:val="1002"/>
        </w:numPr>
        <w:pStyle w:val="Compact"/>
      </w:pPr>
      <w:r>
        <w:rPr>
          <w:bCs/>
          <w:b/>
        </w:rPr>
        <w:t xml:space="preserve">Mental Health and Workload:</w:t>
      </w:r>
    </w:p>
    <w:bookmarkEnd w:id="24"/>
    <w:bookmarkStart w:id="25" w:name="v.-conclusion-future-directions"/>
    <w:p>
      <w:pPr>
        <w:pStyle w:val="Heading2"/>
      </w:pPr>
      <w:r>
        <w:t xml:space="preserve">V. Conclusion: Future Directions</w:t>
      </w:r>
    </w:p>
    <w:p>
      <w:pPr>
        <w:pStyle w:val="FirstParagraph"/>
      </w:pPr>
      <w:r>
        <w:t xml:space="preserve">The role of the Academic Researcher in Australia—specifically within Melbourne—is evolving rapidly from solitary scholar to collaborative node in a vast intellectual network. The opportunities afforded by Melbourne’s robust research infrastructure are substantial, offering pathways for significant scientific breakthroughs and societal impact.</w:t>
      </w:r>
    </w:p>
    <w:p>
      <w:pPr>
        <w:pStyle w:val="BodyText"/>
      </w:pPr>
      <w:r>
        <w:t xml:space="preserve">However, sustaining this ecosystem requires acknowledging the human element behind every publication and grant application. Policymakers and university administrators must continue to advocate for sustainable workloads that prioritize deep inquiry over rapid output. Furthermore, fostering an inclusive environment where diverse perspectives can flourish will ensure that Melbourne remains at the forefront of global academia.</w:t>
      </w:r>
    </w:p>
    <w:p>
      <w:pPr>
        <w:pStyle w:val="BodyText"/>
      </w:pPr>
      <w:r>
        <w:t xml:space="preserve">Ultimately, empowering the Academic Researcher means recognizing their dual role as both innovators and educators. By supporting their mental well-being and professional growth while maintaining rigorous standards for excellence, Australia can ensure that its capital city continues to serve as a beacon of scientific discovery and intellectual inquiry for years to come.</w:t>
      </w:r>
    </w:p>
    <w:bookmarkEnd w:id="25"/>
    <w:bookmarkStart w:id="26" w:name="references"/>
    <w:p>
      <w:pPr>
        <w:pStyle w:val="Heading2"/>
      </w:pPr>
      <w:r>
        <w:t xml:space="preserve">References</w:t>
      </w:r>
    </w:p>
    <w:p>
      <w:pPr>
        <w:numPr>
          <w:ilvl w:val="0"/>
          <w:numId w:val="1003"/>
        </w:numPr>
        <w:pStyle w:val="Compact"/>
      </w:pPr>
      <w:r>
        <w:t xml:space="preserve">Australian Research Council. (2019). Strategic Plan 2018–23. Canberra, ACT: Australian Government.</w:t>
      </w:r>
    </w:p>
    <w:p>
      <w:pPr>
        <w:numPr>
          <w:ilvl w:val="0"/>
          <w:numId w:val="1003"/>
        </w:numPr>
        <w:pStyle w:val="Compact"/>
      </w:pPr>
      <w:r>
        <w:t xml:space="preserve">Curtin, K., &amp; Smith, R. (2015). The Changing Landscape of Higher Education in Australia. Sydney: University Press.</w:t>
      </w:r>
    </w:p>
    <w:p>
      <w:pPr>
        <w:numPr>
          <w:ilvl w:val="0"/>
          <w:numId w:val="1003"/>
        </w:numPr>
        <w:pStyle w:val="Compact"/>
      </w:pPr>
      <w:r>
        <w:t xml:space="preserve">Gibbons, M., Limoges, C., Nowotny, H., Schwartzman, S., Scott, P. Trowmichelsen and Witkin. (1994). The New Production of Knowledge: The Dynamics of Science and Research in Contemporary Societies. London: Sage Publications.</w:t>
      </w:r>
    </w:p>
    <w:p>
      <w:pPr>
        <w:numPr>
          <w:ilvl w:val="0"/>
          <w:numId w:val="1003"/>
        </w:numPr>
        <w:pStyle w:val="Compact"/>
      </w:pPr>
      <w:r>
        <w:t xml:space="preserve">Melbourne City Council Planning Report on Urban Development Zones for Knowledge Industries (2021).</w:t>
      </w:r>
    </w:p>
    <w:p>
      <w:pPr>
        <w:numPr>
          <w:ilvl w:val="0"/>
          <w:numId w:val="1003"/>
        </w:numPr>
        <w:pStyle w:val="Compact"/>
      </w:pPr>
      <w:r>
        <w:t xml:space="preserve">National Health and Medical Research Council. (2020). NHMRC Strategic Plan 2019–34. Canberra, ACT: Australian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Academic Researcher in Australia: Melbourne as a Global Hub</dc:title>
  <dc:creator/>
  <dc:language>en</dc:language>
  <cp:keywords/>
  <dcterms:created xsi:type="dcterms:W3CDTF">2026-07-29T11:43:52Z</dcterms:created>
  <dcterms:modified xsi:type="dcterms:W3CDTF">2026-07-29T11:43:52Z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