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Contemporary</w:t>
      </w:r>
      <w:r>
        <w:t xml:space="preserve"> </w:t>
      </w:r>
      <w:r>
        <w:t xml:space="preserve">Institutions: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Montreal</w:t>
      </w:r>
    </w:p>
    <w:bookmarkStart w:id="28" w:name="X833d99c1d6fa4cb7e6666baaf2a1bef8ba6687e"/>
    <w:p>
      <w:pPr>
        <w:pStyle w:val="Heading1"/>
      </w:pPr>
      <w:r>
        <w:t xml:space="preserve">The Evolution of Academic Researcher Roles in Contemporary Institutions: A Case Study from Canada, Montreal</w:t>
      </w:r>
    </w:p>
    <w:p>
      <w:pPr>
        <w:pStyle w:val="FirstParagraph"/>
      </w:pPr>
      <w:r>
        <w:rPr>
          <w:bCs/>
          <w:b/>
        </w:rPr>
        <w:t xml:space="preserve">Author:</w:t>
      </w:r>
      <w:r>
        <w:t xml:space="preserve"> </w:t>
      </w:r>
      <w:r>
        <w:t xml:space="preserve">Dr. Elena V. Thorne</w:t>
      </w:r>
      <w:r>
        <w:br/>
      </w:r>
      <w:r>
        <w:rPr>
          <w:bCs/>
          <w:b/>
        </w:rPr>
        <w:t xml:space="preserve">Affiliation:</w:t>
      </w:r>
      <w:r>
        <w:t xml:space="preserve"> </w:t>
      </w:r>
      <w:r>
        <w:t xml:space="preserve">Department of Sociology and Anthropology, McGill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shifting paradigms in the professional identity and operational mandates of the</w:t>
      </w:r>
      <w:r>
        <w:t xml:space="preserve"> </w:t>
      </w:r>
      <w:r>
        <w:rPr>
          <w:bCs/>
          <w:b/>
        </w:rPr>
        <w:t xml:space="preserve">Academic Researcher</w:t>
      </w:r>
      <w:r>
        <w:t xml:space="preserve"> </w:t>
      </w:r>
      <w:r>
        <w:t xml:space="preserve">within the contemporary higher education landscape. Specifically, this study focuses on Montreal, Quebec, situated within</w:t>
      </w:r>
      <w:r>
        <w:t xml:space="preserve"> </w:t>
      </w:r>
      <w:r>
        <w:rPr>
          <w:bCs/>
          <w:b/>
        </w:rPr>
        <w:t xml:space="preserve">Canada</w:t>
      </w:r>
      <w:r>
        <w:t xml:space="preserve">. As a vibrant intellectual hub characterized by its unique bilingualism and distinct cultural heritage, Montreal presents a complex ecosystem for scholarly inquiry. This paper argues that modern</w:t>
      </w:r>
      <w:r>
        <w:t xml:space="preserve"> </w:t>
      </w:r>
      <w:r>
        <w:rPr>
          <w:bCs/>
          <w:b/>
        </w:rPr>
        <w:t xml:space="preserve">Academic Researcher</w:t>
      </w:r>
      <w:r>
        <w:t xml:space="preserve"> </w:t>
      </w:r>
      <w:r>
        <w:t xml:space="preserve">roles have transcended traditional siloed disciplines to embrace interdisciplinary collaboration, community-engaged scholarship, and digital innovation. By analyzing policy documents from major institutions in</w:t>
      </w:r>
      <w:r>
        <w:t xml:space="preserve"> </w:t>
      </w:r>
      <w:r>
        <w:rPr>
          <w:bCs/>
          <w:b/>
        </w:rPr>
        <w:t xml:space="preserve">Canada</w:t>
      </w:r>
      <w:r>
        <w:t xml:space="preserve">, including the Université de Montréal and Concordia University, this study highlights how funding mechanisms and societal expectations are reshaping the trajectory of academic work. The findings suggest that while technological advancements offer unprecedented tools for discovery, they also impose new pressures regarding productivity metrics and public engagement.</w:t>
      </w:r>
    </w:p>
    <w:p>
      <w:pPr>
        <w:pStyle w:val="BodyText"/>
      </w:pPr>
      <w:r>
        <w:rPr>
          <w:bCs/>
          <w:b/>
        </w:rPr>
        <w:t xml:space="preserve">Keywords:</w:t>
      </w:r>
      <w:r>
        <w:t xml:space="preserve"> </w:t>
      </w:r>
      <w:r>
        <w:t xml:space="preserve">Academic Researcher, Canada Montreal, Higher Education Policy, Interdisciplinary Studies, Research Impact.</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Academic Researcher</w:t>
      </w:r>
      <w:r>
        <w:t xml:space="preserve">, has historically been defined by a tripartite mission: teaching, research dissemination and community service. However in the 21st century these boundaries have become increasingly porous particularly within large metropolitan centers known for their concentration of intellectual capital such as Montreal located in</w:t>
      </w:r>
      <w:r>
        <w:t xml:space="preserve"> </w:t>
      </w:r>
      <w:r>
        <w:rPr>
          <w:bCs/>
          <w:b/>
        </w:rPr>
        <w:t xml:space="preserve">Canada</w:t>
      </w:r>
      <w:r>
        <w:t xml:space="preserve">. The city itself serves as a microcosm for broader global trends in academia where the demand for actionable knowledge intersects with theoretical exploration.</w:t>
      </w:r>
    </w:p>
    <w:p>
      <w:pPr>
        <w:pStyle w:val="BodyText"/>
      </w:pPr>
      <w:r>
        <w:t xml:space="preserve">Montreal stands out not only because it is a major cultural and economic center but also because of its unique position within</w:t>
      </w:r>
      <w:r>
        <w:t xml:space="preserve"> </w:t>
      </w:r>
      <w:r>
        <w:rPr>
          <w:bCs/>
          <w:b/>
        </w:rPr>
        <w:t xml:space="preserve">Canada</w:t>
      </w:r>
      <w:r>
        <w:t xml:space="preserve">. As a predominantly French-speaking city with strong English-language institutions, it fosters a dual academic environment that requires researchers to navigate linguistic and cultural nuances. This duality influences how an</w:t>
      </w:r>
      <w:r>
        <w:t xml:space="preserve"> </w:t>
      </w:r>
      <w:r>
        <w:rPr>
          <w:bCs/>
          <w:b/>
        </w:rPr>
        <w:t xml:space="preserve">Academic Researcher</w:t>
      </w:r>
      <w:r>
        <w:t xml:space="preserve"> </w:t>
      </w:r>
      <w:r>
        <w:t xml:space="preserve">must communicate their findings, collaborate across borders, and engage with diverse stakeholder groups. The purpose of this article is to dissect these dynamics offering insights into how the profession is adapting to meet modern challenges.</w:t>
      </w:r>
    </w:p>
    <w:bookmarkEnd w:id="21"/>
    <w:bookmarkStart w:id="22" w:name="X55d5120354458f925e399ab77c2f9a879f3a311"/>
    <w:p>
      <w:pPr>
        <w:pStyle w:val="Heading2"/>
      </w:pPr>
      <w:r>
        <w:t xml:space="preserve">II. The Changing Landscape of Funding and Expectations</w:t>
      </w:r>
    </w:p>
    <w:p>
      <w:pPr>
        <w:pStyle w:val="FirstParagraph"/>
      </w:pPr>
      <w:r>
        <w:t xml:space="preserve">In recent years the funding landscape for academic inquiry in</w:t>
      </w:r>
      <w:r>
        <w:t xml:space="preserve"> </w:t>
      </w:r>
      <w:r>
        <w:rPr>
          <w:bCs/>
          <w:b/>
        </w:rPr>
        <w:t xml:space="preserve">Canada</w:t>
      </w:r>
      <w:hyperlink w:anchor="ref1">
        <w:r>
          <w:rPr>
            <w:rStyle w:val="Hyperlink"/>
          </w:rPr>
          <w:t xml:space="preserve">[1]</w:t>
        </w:r>
      </w:hyperlink>
      <w:r>
        <w:t xml:space="preserve">. has undergone significant transformation. Traditional grants from bodies such as the Social Sciences and Humanities Research Council SSHRC and the Natural Sciences and Engineering Research Council NSERC are now often coupled with expectations for industry collaboration or societal impact. For an</w:t>
      </w:r>
      <w:r>
        <w:t xml:space="preserve"> </w:t>
      </w:r>
      <w:r>
        <w:rPr>
          <w:bCs/>
          <w:b/>
        </w:rPr>
        <w:t xml:space="preserve">Academic Researcher</w:t>
      </w:r>
      <w:r>
        <w:t xml:space="preserve"> </w:t>
      </w:r>
      <w:r>
        <w:t xml:space="preserve">based in Montreal this means that success is no longer measured solely by publication counts but also by citations policy influence and practical applications of research.</w:t>
      </w:r>
    </w:p>
    <w:p>
      <w:pPr>
        <w:pStyle w:val="BodyText"/>
      </w:pPr>
      <w:r>
        <w:t xml:space="preserve">This shift has been particularly pronounced in fields like public health engineering and urban planning where local issues such as housing affordability climate change adaptation and social equity require immediate attention. Researchers at institutions like the Université de Montréal have pioneered models that integrate community stakeholders early in the research design process. This approach ensures that the work remains relevant to local populations while still maintaining rigorous academic standards.</w:t>
      </w:r>
    </w:p>
    <w:bookmarkEnd w:id="22"/>
    <w:bookmarkStart w:id="23" w:name="X2451227eebc04a23eb3de1d3359deb724147b16"/>
    <w:p>
      <w:pPr>
        <w:pStyle w:val="Heading2"/>
      </w:pPr>
      <w:r>
        <w:t xml:space="preserve">III. Interdisciplinary Collaboration as a Necessity</w:t>
      </w:r>
    </w:p>
    <w:p>
      <w:pPr>
        <w:pStyle w:val="FirstParagraph"/>
      </w:pPr>
      <w:r>
        <w:t xml:space="preserve">The complexity of modern problems demands interdisciplinary solutions and thus the role of the</w:t>
      </w:r>
      <w:r>
        <w:t xml:space="preserve"> </w:t>
      </w:r>
      <w:r>
        <w:rPr>
          <w:bCs/>
          <w:b/>
        </w:rPr>
        <w:t xml:space="preserve">Academic Researcher</w:t>
      </w:r>
      <w:hyperlink w:anchor="ref2">
        <w:r>
          <w:rPr>
            <w:rStyle w:val="Hyperlink"/>
          </w:rPr>
          <w:t xml:space="preserve">[2]</w:t>
        </w:r>
      </w:hyperlink>
      <w:r>
        <w:t xml:space="preserve">. has evolved from solitary scholar to team leader or collaborator. Montreal’s research ecosystem is characterized by numerous joint initiatives between universities, hospitals and private enterprises. For instance the integration of AI ethics into computer science curricula involves philosophers sociologists and technologists working together.</w:t>
      </w:r>
    </w:p>
    <w:p>
      <w:pPr>
        <w:pStyle w:val="BodyText"/>
      </w:pPr>
      <w:r>
        <w:t xml:space="preserve">This trend reflects a broader movement in</w:t>
      </w:r>
      <w:r>
        <w:t xml:space="preserve"> </w:t>
      </w:r>
      <w:r>
        <w:rPr>
          <w:bCs/>
          <w:b/>
        </w:rPr>
        <w:t xml:space="preserve">Canada</w:t>
      </w:r>
      <w:hyperlink w:anchor="ref1">
        <w:r>
          <w:rPr>
            <w:rStyle w:val="Hyperlink"/>
          </w:rPr>
          <w:t xml:space="preserve">[3]</w:t>
        </w:r>
      </w:hyperlink>
      <w:r>
        <w:t xml:space="preserve">. toward "convergence research" where boundaries between natural sciences social sciences humanities and arts dissolve. An</w:t>
      </w:r>
      <w:r>
        <w:t xml:space="preserve"> </w:t>
      </w:r>
      <w:r>
        <w:rPr>
          <w:bCs/>
          <w:b/>
        </w:rPr>
        <w:t xml:space="preserve">Academic Researcher</w:t>
      </w:r>
      <w:r>
        <w:t xml:space="preserve"> </w:t>
      </w:r>
      <w:r>
        <w:t xml:space="preserve">must therefore possess not only deep expertise in their specific field but also the ability to communicate effectively with colleagues from disparate disciplines. This requires a new set of skills including cross-cultural communication digital literacy and project management capabilities.</w:t>
      </w:r>
    </w:p>
    <w:bookmarkEnd w:id="23"/>
    <w:bookmarkStart w:id="24" w:name="X18fbaf1b4a016c4ef13e180122d8923d7a43c9a"/>
    <w:p>
      <w:pPr>
        <w:pStyle w:val="Heading2"/>
      </w:pPr>
      <w:r>
        <w:t xml:space="preserve">IV. The Impact of Digitalization on Research Methodologies</w:t>
      </w:r>
    </w:p>
    <w:p>
      <w:pPr>
        <w:pStyle w:val="FirstParagraph"/>
      </w:pPr>
      <w:r>
        <w:t xml:space="preserve">Digital transformation has revolutionized how data is collected analyzed and shared. For the modern</w:t>
      </w:r>
      <w:r>
        <w:t xml:space="preserve"> </w:t>
      </w:r>
      <w:r>
        <w:rPr>
          <w:bCs/>
          <w:b/>
        </w:rPr>
        <w:t xml:space="preserve">Academic Researcher</w:t>
      </w:r>
      <w:r>
        <w:t xml:space="preserve">, proficiency in digital tools is no longer optional but essential. In Montreal, initiatives such as the Digital Humanities Hub facilitate the use of computational methods in historical and literary studies. This technological integration allows for more expansive analyses of large datasets which were previously inaccessible.</w:t>
      </w:r>
    </w:p>
    <w:p>
      <w:pPr>
        <w:pStyle w:val="BodyText"/>
      </w:pPr>
      <w:r>
        <w:t xml:space="preserve">However this digital shift also raises concerns about data privacy intellectual property rights and the democratization of knowledge. Researchers must navigate ethical frameworks that protect subjects while enabling open access to scientific findings. The balance between proprietary interests and public good is a key tension faced by</w:t>
      </w:r>
      <w:r>
        <w:t xml:space="preserve"> </w:t>
      </w:r>
      <w:r>
        <w:rPr>
          <w:bCs/>
          <w:b/>
        </w:rPr>
        <w:t xml:space="preserve">Academic Researcher</w:t>
      </w:r>
      <w:r>
        <w:t xml:space="preserve">s working in tech-intensive environments across</w:t>
      </w:r>
      <w:r>
        <w:t xml:space="preserve"> </w:t>
      </w:r>
      <w:r>
        <w:rPr>
          <w:bCs/>
          <w:b/>
        </w:rPr>
        <w:t xml:space="preserve">Canada</w:t>
      </w:r>
      <w:hyperlink w:anchor="ref1">
        <w:r>
          <w:rPr>
            <w:rStyle w:val="Hyperlink"/>
          </w:rPr>
          <w:t xml:space="preserve">[4]</w:t>
        </w:r>
      </w:hyperlink>
      <w:r>
        <w:t xml:space="preserve">.</w:t>
      </w:r>
    </w:p>
    <w:bookmarkEnd w:id="24"/>
    <w:bookmarkStart w:id="25" w:name="X00372aa05b50b1bd23cd71f9acdea3055426f72"/>
    <w:p>
      <w:pPr>
        <w:pStyle w:val="Heading2"/>
      </w:pPr>
      <w:r>
        <w:t xml:space="preserve">V. Community Engagement and Social Responsibility</w:t>
      </w:r>
    </w:p>
    <w:p>
      <w:pPr>
        <w:pStyle w:val="FirstParagraph"/>
      </w:pPr>
      <w:r>
        <w:t xml:space="preserve">A defining characteristic of contemporary academia, especially in diverse urban centers like Montreal, is the emphasis on community engagement. The concept of "engaged scholarship" suggests that research should not exist in an ivory tower but should actively contribute to societal well-being. In</w:t>
      </w:r>
      <w:r>
        <w:t xml:space="preserve"> </w:t>
      </w:r>
      <w:r>
        <w:rPr>
          <w:bCs/>
          <w:b/>
        </w:rPr>
        <w:t xml:space="preserve">Canada</w:t>
      </w:r>
      <w:r>
        <w:t xml:space="preserve">, there is a growing recognition of the need for decolonizing research methodologies and involving Indigenous communities as partners rather than subjects.</w:t>
      </w:r>
    </w:p>
    <w:p>
      <w:pPr>
        <w:pStyle w:val="BodyText"/>
      </w:pPr>
      <w:r>
        <w:t xml:space="preserve">Montreal’s rich history with Indigenous peoples provides a critical context for this discussion. An</w:t>
      </w:r>
      <w:r>
        <w:t xml:space="preserve"> </w:t>
      </w:r>
      <w:r>
        <w:rPr>
          <w:bCs/>
          <w:b/>
        </w:rPr>
        <w:t xml:space="preserve">Academic Researcher</w:t>
      </w:r>
      <w:r>
        <w:t xml:space="preserve"> </w:t>
      </w:r>
      <w:r>
        <w:t xml:space="preserve">working in this region must be sensitive to these histories and actively seek to co-create knowledge with local communities. This approach not only enhances the validity and relevance of research but also fosters trust between academia and the public.</w:t>
      </w:r>
    </w:p>
    <w:bookmarkEnd w:id="25"/>
    <w:bookmarkStart w:id="26" w:name="vi.-conclusion"/>
    <w:p>
      <w:pPr>
        <w:pStyle w:val="Heading2"/>
      </w:pPr>
      <w:r>
        <w:t xml:space="preserve">VI. Conclusion</w:t>
      </w:r>
    </w:p>
    <w:p>
      <w:pPr>
        <w:pStyle w:val="FirstParagraph"/>
      </w:pPr>
      <w:r>
        <w:t xml:space="preserve">The identity of the</w:t>
      </w:r>
      <w:r>
        <w:t xml:space="preserve"> </w:t>
      </w:r>
      <w:r>
        <w:rPr>
          <w:bCs/>
          <w:b/>
        </w:rPr>
        <w:t xml:space="preserve">Academic Researcher</w:t>
      </w:r>
      <w:r>
        <w:t xml:space="preserve">, in Montreal within</w:t>
      </w:r>
    </w:p>
    <w:p>
      <w:pPr>
        <w:pStyle w:val="BodyText"/>
      </w:pPr>
      <w:r>
        <w:t xml:space="preserve">Canada, is undergoing a profound transformation driven by technological advancement, interdisciplinary demands and societal expectations. As this article has demonstrated, the modern researcher must be adaptable collaborative and socially responsible. While challenges such as funding constraints and ethical dilemmas persist they also offer opportunities for innovation.</w:t>
      </w:r>
    </w:p>
    <w:p>
      <w:pPr>
        <w:pStyle w:val="BodyText"/>
      </w:pPr>
      <w:r>
        <w:t xml:space="preserve">Looking ahead it is imperative that institutions in Montreal continue to support researchers through robust mentorship programs infrastructure investments and flexible evaluation metrics that recognize diverse contributions to knowledge. By embracing these changes the academic community can ensure its continued relevance and impact on both local and global scales.</w:t>
      </w:r>
    </w:p>
    <w:bookmarkEnd w:id="26"/>
    <w:bookmarkStart w:id="27" w:name="vii.-references"/>
    <w:p>
      <w:pPr>
        <w:pStyle w:val="Heading2"/>
      </w:pPr>
      <w:r>
        <w:t xml:space="preserve">VII. References</w:t>
      </w:r>
    </w:p>
    <w:p>
      <w:pPr>
        <w:pStyle w:val="FirstParagraph"/>
      </w:pPr>
      <w:r>
        <w:t xml:space="preserve">[1] Government of Canada. (2023).</w:t>
      </w:r>
      <w:r>
        <w:t xml:space="preserve"> </w:t>
      </w:r>
      <w:r>
        <w:rPr>
          <w:iCs/>
          <w:i/>
        </w:rPr>
        <w:t xml:space="preserve">Federal Funding for Research and Development in Higher Education.</w:t>
      </w:r>
      <w:r>
        <w:t xml:space="preserve"> </w:t>
      </w:r>
      <w:r>
        <w:t xml:space="preserve">Ottawa: Minister of Innovation, Science and Industry.</w:t>
      </w:r>
    </w:p>
    <w:p>
      <w:pPr>
        <w:pStyle w:val="BodyText"/>
      </w:pPr>
      <w:r>
        <w:t xml:space="preserve">[2] National Academies of Sciences Engineering Medicine. (2018).</w:t>
      </w:r>
      <w:r>
        <w:t xml:space="preserve"> </w:t>
      </w:r>
      <w:r>
        <w:rPr>
          <w:iCs/>
          <w:i/>
        </w:rPr>
        <w:t xml:space="preserve">The Integration of the Humanities and Arts with Sciences Engineering and Medicine in Higher Education Leaders Forums Briefing Paper</w:t>
      </w:r>
      <w:r>
        <w:t xml:space="preserve">. Washington DC The National Academies Press.</w:t>
      </w:r>
    </w:p>
    <w:p>
      <w:pPr>
        <w:pStyle w:val="BodyText"/>
      </w:pPr>
      <w:r>
        <w:t xml:space="preserve">[3] Statistics Canada. (2022).</w:t>
      </w:r>
      <w:r>
        <w:t xml:space="preserve"> </w:t>
      </w:r>
      <w:r>
        <w:rPr>
          <w:iCs/>
          <w:i/>
        </w:rPr>
        <w:t xml:space="preserve">Expenditures on Research and Development by Sector of Performance</w:t>
      </w:r>
      <w:r>
        <w:t xml:space="preserve">. Ottawa: Statistics Canada.</w:t>
      </w:r>
    </w:p>
    <w:p>
      <w:pPr>
        <w:pStyle w:val="BodyText"/>
      </w:pPr>
      <w:r>
        <w:t xml:space="preserve">[4] UNESCO. (2021).</w:t>
      </w:r>
      <w:r>
        <w:t xml:space="preserve"> </w:t>
      </w:r>
      <w:r>
        <w:rPr>
          <w:iCs/>
          <w:i/>
        </w:rPr>
        <w:t xml:space="preserve">Oxford Statement on Open Science for Sustainable Development</w:t>
      </w:r>
      <w:r>
        <w:t xml:space="preserve">. Paris: UNESCO Publishing.</w:t>
      </w:r>
    </w:p>
    <w:p>
      <w:r>
        <w:pict>
          <v:rect style="width:0;height:1.5pt" o:hralign="center" o:hrstd="t" o:hr="t"/>
        </w:pict>
      </w:r>
    </w:p>
    <w:p>
      <w:pPr>
        <w:pStyle w:val="FirstParagraph"/>
      </w:pPr>
      <w:r>
        <w:rPr>
          <w:bCs/>
          <w:b/>
        </w:rPr>
        <w:t xml:space="preserve">Note:</w:t>
      </w:r>
      <w:r>
        <w:t xml:space="preserve"> </w:t>
      </w:r>
      <w:r>
        <w:t xml:space="preserve">This document is generated for academic illustrative purposes. All citations are representative of typical literature in this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Researcher Roles in Contemporary Institutions: A Case Study from Canada, Montreal</dc:title>
  <dc:creator/>
  <cp:keywords/>
  <dcterms:created xsi:type="dcterms:W3CDTF">2026-07-29T06:12:48Z</dcterms:created>
  <dcterms:modified xsi:type="dcterms:W3CDTF">2026-07-29T06:12:48Z</dcterms:modified>
</cp:coreProperties>
</file>

<file path=docProps/custom.xml><?xml version="1.0" encoding="utf-8"?>
<Properties xmlns="http://schemas.openxmlformats.org/officeDocument/2006/custom-properties" xmlns:vt="http://schemas.openxmlformats.org/officeDocument/2006/docPropsVTypes"/>
</file>