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Institutional</w:t>
      </w:r>
      <w:r>
        <w:t xml:space="preserve"> </w:t>
      </w:r>
      <w:r>
        <w:t xml:space="preserve">Hierarchies</w:t>
      </w:r>
      <w:r>
        <w:t xml:space="preserve"> </w:t>
      </w:r>
      <w:r>
        <w:t xml:space="preserve">and</w:t>
      </w:r>
      <w:r>
        <w:t xml:space="preserve"> </w:t>
      </w:r>
      <w:r>
        <w:t xml:space="preserve">Global</w:t>
      </w:r>
      <w:r>
        <w:t xml:space="preserve"> </w:t>
      </w:r>
      <w:r>
        <w:t xml:space="preserve">Competitiveness</w:t>
      </w:r>
    </w:p>
    <w:bookmarkStart w:id="28" w:name="Xb0a88d8bcc56f069b7a244608c6c4f7ff1a7cad"/>
    <w:p>
      <w:pPr>
        <w:pStyle w:val="Heading1"/>
      </w:pPr>
      <w:r>
        <w:t xml:space="preserve">The Epistemological Landscape of the</w:t>
      </w:r>
      <w:r>
        <w:t xml:space="preserve"> </w:t>
      </w:r>
      <w:r>
        <w:rPr>
          <w:u w:val="single"/>
          <w:bCs/>
          <w:b/>
        </w:rPr>
        <w:t xml:space="preserve">Academic Researcher</w:t>
      </w:r>
      <w:r>
        <w:t xml:space="preserve"> </w:t>
      </w:r>
      <w:r>
        <w:t xml:space="preserve">in</w:t>
      </w:r>
      <w:r>
        <w:t xml:space="preserve"> </w:t>
      </w:r>
      <w:r>
        <w:rPr>
          <w:u w:val="single"/>
          <w:bCs/>
          <w:b/>
        </w:rPr>
        <w:t xml:space="preserve">France Paris</w:t>
      </w:r>
      <w:r>
        <w:t xml:space="preserve">: Navigating Institutional Hierarchies and Global Competitiveness in Contemporary Scientific Inquiry</w:t>
      </w:r>
    </w:p>
    <w:p>
      <w:pPr>
        <w:pStyle w:val="FirstParagraph"/>
      </w:pPr>
      <w:r>
        <w:rPr>
          <w:iCs/>
          <w:i/>
        </w:rPr>
        <w:t xml:space="preserve">An Academic Journal Article Analysis of the French Research Ecosystem</w:t>
      </w:r>
    </w:p>
    <w:p>
      <w:pPr>
        <w:pStyle w:val="BodyText"/>
      </w:pPr>
      <w:r>
        <w:br/>
      </w:r>
    </w:p>
    <w:bookmarkStart w:id="20" w:name="X17b2b2f8624ecbb62aa134772ad3ec56708eb89"/>
    <w:p>
      <w:pPr>
        <w:pStyle w:val="Heading2"/>
      </w:pPr>
      <w:r>
        <w:rPr>
          <w:u w:val="single"/>
          <w:bCs/>
          <w:b/>
        </w:rPr>
        <w:t xml:space="preserve">Academic Journal Article</w:t>
      </w:r>
      <w:r>
        <w:t xml:space="preserve">: Abstract and Introduction</w:t>
      </w:r>
    </w:p>
    <w:p>
      <w:pPr>
        <w:pStyle w:val="FirstParagraph"/>
      </w:pPr>
      <w:r>
        <w:t xml:space="preserve">In the dynamic landscape of global higher education, few cities embody the intersection of historical prestige and modern scientific ambition as profoundly as</w:t>
      </w:r>
      <w:r>
        <w:t xml:space="preserve"> </w:t>
      </w:r>
      <w:r>
        <w:rPr>
          <w:u w:val="single"/>
          <w:bCs/>
          <w:b/>
        </w:rPr>
        <w:t xml:space="preserve">France Paris</w:t>
      </w:r>
      <w:r>
        <w:t xml:space="preserve">. As the capital city serves not only as a political hub but also as a dense cluster of academic institutions, it provides an unparalleled setting for scholarly inquiry. This</w:t>
      </w:r>
      <w:r>
        <w:t xml:space="preserve"> </w:t>
      </w:r>
      <w:r>
        <w:rPr>
          <w:u w:val="single"/>
          <w:bCs/>
          <w:b/>
        </w:rPr>
        <w:t xml:space="preserve">Academic Journal Article</w:t>
      </w:r>
      <w:r>
        <w:t xml:space="preserve"> </w:t>
      </w:r>
      <w:r>
        <w:t xml:space="preserve">critically examines the role, challenges, and opportunities faced by the</w:t>
      </w:r>
      <w:r>
        <w:t xml:space="preserve"> </w:t>
      </w:r>
      <w:r>
        <w:rPr>
          <w:u w:val="single"/>
          <w:bCs/>
          <w:b/>
        </w:rPr>
        <w:t xml:space="preserve">Academic Researcher</w:t>
      </w:r>
      <w:r>
        <w:t xml:space="preserve"> </w:t>
      </w:r>
      <w:r>
        <w:t xml:space="preserve">operating within this unique ecosystem. The focus is placed on understanding how institutional frameworks in</w:t>
      </w:r>
      <w:r>
        <w:t xml:space="preserve"> </w:t>
      </w:r>
      <w:r>
        <w:rPr>
          <w:u w:val="single"/>
          <w:bCs/>
          <w:b/>
        </w:rPr>
        <w:t xml:space="preserve">France Paris</w:t>
      </w:r>
      <w:r>
        <w:t xml:space="preserve">, characterized by a complex tripartite system of universities, grandes écoles, and national research centers (CNRS), shape the day-to-day realities of academic life.</w:t>
      </w:r>
    </w:p>
    <w:p>
      <w:pPr>
        <w:pStyle w:val="BodyText"/>
      </w:pPr>
      <w:r>
        <w:t xml:space="preserve">The primary thesis of this paper argues that while the</w:t>
      </w:r>
      <w:r>
        <w:t xml:space="preserve"> </w:t>
      </w:r>
      <w:r>
        <w:rPr>
          <w:u w:val="single"/>
          <w:bCs/>
          <w:b/>
        </w:rPr>
        <w:t xml:space="preserve">Academic Researcher</w:t>
      </w:r>
      <w:r>
        <w:t xml:space="preserve"> </w:t>
      </w:r>
      <w:r>
        <w:t xml:space="preserve">in</w:t>
      </w:r>
      <w:r>
        <w:t xml:space="preserve"> </w:t>
      </w:r>
      <w:r>
        <w:rPr>
          <w:u w:val="single"/>
          <w:bCs/>
          <w:b/>
        </w:rPr>
        <w:t xml:space="preserve">France Paris</w:t>
      </w:r>
      <w:r>
        <w:t xml:space="preserve"> </w:t>
      </w:r>
      <w:r>
        <w:t xml:space="preserve">benefits from unparalleled access to heritage libraries, interdisciplinary networks, and state-of-the-art laboratories, they simultaneously navigate a highly bureaucratic administrative environment. Furthermore, the pressure to publish in high-impact international journals creates a tension between local French academic traditions and globalized metrics of success. This</w:t>
      </w:r>
      <w:r>
        <w:t xml:space="preserve"> </w:t>
      </w:r>
      <w:r>
        <w:rPr>
          <w:u w:val="single"/>
          <w:bCs/>
          <w:b/>
        </w:rPr>
        <w:t xml:space="preserve">Academic Journal Article</w:t>
      </w:r>
      <w:r>
        <w:t xml:space="preserve"> </w:t>
      </w:r>
      <w:r>
        <w:t xml:space="preserve">aims to dissect these dualities through qualitative analysis of institutional policies and empirical observations of research outputs.</w:t>
      </w:r>
    </w:p>
    <w:bookmarkEnd w:id="20"/>
    <w:bookmarkStart w:id="21" w:name="X7ffbdbebbdcd9ad5739b49f41a6f04ca2aff2c8"/>
    <w:p>
      <w:pPr>
        <w:pStyle w:val="Heading2"/>
      </w:pPr>
      <w:r>
        <w:t xml:space="preserve">The Tripartite Structure: A Unique Institutional Framework in France Paris</w:t>
      </w:r>
    </w:p>
    <w:p>
      <w:pPr>
        <w:pStyle w:val="FirstParagraph"/>
      </w:pPr>
      <w:r>
        <w:t xml:space="preserve">To understand the position of the</w:t>
      </w:r>
      <w:r>
        <w:t xml:space="preserve"> </w:t>
      </w:r>
      <w:r>
        <w:rPr>
          <w:u w:val="single"/>
          <w:bCs/>
          <w:b/>
        </w:rPr>
        <w:t xml:space="preserve">Academic Researcher</w:t>
      </w:r>
      <w:r>
        <w:t xml:space="preserve">, one must first appreciate the structural complexity of scientific research in</w:t>
      </w:r>
      <w:r>
        <w:t xml:space="preserve"> </w:t>
      </w:r>
      <w:r>
        <w:rPr>
          <w:u w:val="single"/>
          <w:bCs/>
          <w:b/>
        </w:rPr>
        <w:t xml:space="preserve">France Paris</w:t>
      </w:r>
      <w:r>
        <w:t xml:space="preserve">. Unlike many Anglo-Saxon models where university autonomy is more pronounced, French higher education and research are deeply integrated with state administration. The system relies on a tripartite model consisting of universities (which teach and conduct fundamental research), grandes écoles (elite institutions focused on engineering and business with strong research components), and public scientific, technological, and cultural establishments such as the Centre National de la Recherche Scientifique (CNRS). In</w:t>
      </w:r>
      <w:r>
        <w:t xml:space="preserve"> </w:t>
      </w:r>
      <w:r>
        <w:rPr>
          <w:u w:val="single"/>
          <w:bCs/>
          <w:b/>
        </w:rPr>
        <w:t xml:space="preserve">France Paris</w:t>
      </w:r>
      <w:r>
        <w:t xml:space="preserve">, this concentration is most visible. Institutions like the Sorbonne University, École Polytechnique, and various CNRS institutes located within the city limits create a dense web of collaboration.</w:t>
      </w:r>
    </w:p>
    <w:p>
      <w:pPr>
        <w:pStyle w:val="BodyText"/>
      </w:pPr>
      <w:r>
        <w:t xml:space="preserve">For an</w:t>
      </w:r>
      <w:r>
        <w:t xml:space="preserve"> </w:t>
      </w:r>
      <w:r>
        <w:rPr>
          <w:u w:val="single"/>
          <w:bCs/>
          <w:b/>
        </w:rPr>
        <w:t xml:space="preserve">Academic Researcher</w:t>
      </w:r>
      <w:r>
        <w:t xml:space="preserve">, this structure implies a unique career trajectory. Recruitment often involves rigorous national competitions (concours) that test both pedagogical skills and research potential. This standardization ensures high baseline competencies but can sometimes stifle innovation by favoring conformity over radical new ideas. However, the proximity of diverse institutions in</w:t>
      </w:r>
      <w:r>
        <w:t xml:space="preserve"> </w:t>
      </w:r>
      <w:r>
        <w:rPr>
          <w:u w:val="single"/>
          <w:bCs/>
          <w:b/>
        </w:rPr>
        <w:t xml:space="preserve">France Paris</w:t>
      </w:r>
      <w:r>
        <w:t xml:space="preserve"> </w:t>
      </w:r>
      <w:r>
        <w:t xml:space="preserve">allows for mixed research units (UMR), where staff from universities and CNRS work together seamlessly. This collaborative model is a hallmark of French academia and offers significant advantages for interdisciplinary projects, particularly in fields such as sociology, philosophy, physics, and mathematics.</w:t>
      </w:r>
    </w:p>
    <w:bookmarkEnd w:id="21"/>
    <w:bookmarkStart w:id="22" w:name="X40b472a4defe2458d0af97667484501e14e4849"/>
    <w:p>
      <w:pPr>
        <w:pStyle w:val="Heading2"/>
      </w:pPr>
      <w:r>
        <w:t xml:space="preserve">The Pressure of Globalization versus Local Tradition</w:t>
      </w:r>
    </w:p>
    <w:p>
      <w:pPr>
        <w:pStyle w:val="FirstParagraph"/>
      </w:pPr>
      <w:r>
        <w:t xml:space="preserve">A central theme explored in this</w:t>
      </w:r>
      <w:r>
        <w:t xml:space="preserve"> </w:t>
      </w:r>
      <w:r>
        <w:rPr>
          <w:u w:val="single"/>
          <w:bCs/>
          <w:b/>
        </w:rPr>
        <w:t xml:space="preserve">Academic Journal Article</w:t>
      </w:r>
      <w:r>
        <w:t xml:space="preserve"> </w:t>
      </w:r>
      <w:r>
        <w:t xml:space="preserve">is the tension between global competitiveness and local academic traditions. The internationalization of science has led to an increased emphasis on English-language publications, citation indices (such as Web of Science and Scopus), and participation in large-scale European Union funding programs like Horizon Europe. For the</w:t>
      </w:r>
      <w:r>
        <w:t xml:space="preserve"> </w:t>
      </w:r>
      <w:r>
        <w:rPr>
          <w:u w:val="single"/>
          <w:bCs/>
          <w:b/>
        </w:rPr>
        <w:t xml:space="preserve">Academic Researcher</w:t>
      </w:r>
      <w:r>
        <w:t xml:space="preserve"> </w:t>
      </w:r>
      <w:r>
        <w:t xml:space="preserve">based in</w:t>
      </w:r>
      <w:r>
        <w:t xml:space="preserve"> </w:t>
      </w:r>
      <w:r>
        <w:rPr>
          <w:u w:val="single"/>
          <w:bCs/>
          <w:b/>
        </w:rPr>
        <w:t xml:space="preserve">France Paris</w:t>
      </w:r>
      <w:r>
        <w:t xml:space="preserve">, this presents a double-edged sword.</w:t>
      </w:r>
    </w:p>
    <w:p>
      <w:pPr>
        <w:pStyle w:val="BodyText"/>
      </w:pPr>
      <w:r>
        <w:t xml:space="preserve">On one hand, being located in a global city provides easy access to international conferences, collaborations, and talent pools. The</w:t>
      </w:r>
      <w:r>
        <w:t xml:space="preserve"> </w:t>
      </w:r>
      <w:r>
        <w:rPr>
          <w:u w:val="single"/>
          <w:bCs/>
          <w:b/>
        </w:rPr>
        <w:t xml:space="preserve">Academic Researcher</w:t>
      </w:r>
      <w:r>
        <w:t xml:space="preserve"> </w:t>
      </w:r>
      <w:r>
        <w:t xml:space="preserve">can easily engage with peers from MIT, Oxford, or Tokyo due to the cosmopolitan nature of</w:t>
      </w:r>
      <w:r>
        <w:t xml:space="preserve"> </w:t>
      </w:r>
      <w:r>
        <w:rPr>
          <w:u w:val="single"/>
          <w:bCs/>
          <w:b/>
        </w:rPr>
        <w:t xml:space="preserve">France Paris</w:t>
      </w:r>
      <w:r>
        <w:t xml:space="preserve">. On the other hand, there is a persistent critique within French academia that this pressure undermines the quality and depth of local scholarship. Critics argue that metrics-driven evaluation systems may favor quantity over quality, potentially marginalizing humanities and social sciences where impact factors are less relevant. Consequently, many</w:t>
      </w:r>
      <w:r>
        <w:t xml:space="preserve"> </w:t>
      </w:r>
      <w:r>
        <w:rPr>
          <w:u w:val="single"/>
          <w:bCs/>
          <w:b/>
        </w:rPr>
        <w:t xml:space="preserve">Academic Researcher</w:t>
      </w:r>
      <w:r>
        <w:t xml:space="preserve"> </w:t>
      </w:r>
      <w:r>
        <w:t xml:space="preserve">professionals in</w:t>
      </w:r>
      <w:r>
        <w:t xml:space="preserve"> </w:t>
      </w:r>
      <w:r>
        <w:rPr>
          <w:u w:val="single"/>
          <w:bCs/>
          <w:b/>
        </w:rPr>
        <w:t xml:space="preserve">France Paris</w:t>
      </w:r>
      <w:r>
        <w:t xml:space="preserve"> </w:t>
      </w:r>
      <w:r>
        <w:t xml:space="preserve">find themselves balancing the need to publish rapidly in English with the desire to contribute meaningful work to French intellectual discourse.</w:t>
      </w:r>
    </w:p>
    <w:bookmarkEnd w:id="22"/>
    <w:bookmarkStart w:id="23" w:name="Xfe3403137a224ffe43ef4fc262d175e8cf08e55"/>
    <w:p>
      <w:pPr>
        <w:pStyle w:val="Heading2"/>
      </w:pPr>
      <w:r>
        <w:t xml:space="preserve">Bureaucracy and Administrative Challenges</w:t>
      </w:r>
    </w:p>
    <w:p>
      <w:pPr>
        <w:pStyle w:val="FirstParagraph"/>
      </w:pPr>
      <w:r>
        <w:t xml:space="preserve">No discussion of academic life in this region would be complete without addressing administrative burdens. The</w:t>
      </w:r>
      <w:r>
        <w:t xml:space="preserve"> </w:t>
      </w:r>
      <w:r>
        <w:rPr>
          <w:u w:val="single"/>
          <w:bCs/>
          <w:b/>
        </w:rPr>
        <w:t xml:space="preserve">Academic Journal Article</w:t>
      </w:r>
      <w:r>
        <w:t xml:space="preserve"> </w:t>
      </w:r>
      <w:r>
        <w:t xml:space="preserve">highlights that while French researchers enjoy strong job security compared to some counterparts in the United States, they often contend with extensive bureaucratic procedures. Grant applications, procurement processes, and reporting requirements can consume a significant portion of an</w:t>
      </w:r>
      <w:r>
        <w:t xml:space="preserve"> </w:t>
      </w:r>
      <w:r>
        <w:rPr>
          <w:u w:val="single"/>
          <w:bCs/>
          <w:b/>
        </w:rPr>
        <w:t xml:space="preserve">Academic Researcher’s</w:t>
      </w:r>
      <w:r>
        <w:t xml:space="preserve"> </w:t>
      </w:r>
      <w:r>
        <w:t xml:space="preserve">time. In</w:t>
      </w:r>
      <w:r>
        <w:t xml:space="preserve"> </w:t>
      </w:r>
      <w:r>
        <w:rPr>
          <w:u w:val="single"/>
          <w:bCs/>
          <w:b/>
        </w:rPr>
        <w:t xml:space="preserve">France Paris</w:t>
      </w:r>
      <w:r>
        <w:t xml:space="preserve">, where institutional density is high, administrative overlap between various bodies (universities, ministries, regional councils) can lead to inefficiencies.</w:t>
      </w:r>
    </w:p>
    <w:p>
      <w:pPr>
        <w:pStyle w:val="BodyText"/>
      </w:pPr>
      <w:r>
        <w:t xml:space="preserve">This administrative heaviness has prompted recent reforms aimed at streamlining processes and granting more autonomy to institutions. The "Avenir" law and subsequent initiatives have sought to simplify management structures, allowing</w:t>
      </w:r>
      <w:r>
        <w:t xml:space="preserve"> </w:t>
      </w:r>
      <w:r>
        <w:rPr>
          <w:u w:val="single"/>
          <w:bCs/>
          <w:b/>
        </w:rPr>
        <w:t xml:space="preserve">Academic Researcher</w:t>
      </w:r>
      <w:r>
        <w:t xml:space="preserve"> </w:t>
      </w:r>
      <w:r>
        <w:t xml:space="preserve">teams to focus more on core activities like teaching and discovery. However, implementation varies across different establishments in</w:t>
      </w:r>
      <w:r>
        <w:t xml:space="preserve"> </w:t>
      </w:r>
      <w:r>
        <w:rPr>
          <w:u w:val="single"/>
          <w:bCs/>
          <w:b/>
        </w:rPr>
        <w:t xml:space="preserve">France Paris</w:t>
      </w:r>
      <w:r>
        <w:t xml:space="preserve">. Top-tier institutions often possess the resources to optimize these processes better than smaller entities, creating disparities in working conditions among researchers.</w:t>
      </w:r>
    </w:p>
    <w:bookmarkEnd w:id="23"/>
    <w:bookmarkStart w:id="24" w:name="X63fedc3f7c7e7739f0f35304d4951d92975bc0d"/>
    <w:p>
      <w:pPr>
        <w:pStyle w:val="Heading2"/>
      </w:pPr>
      <w:r>
        <w:t xml:space="preserve">The Role of Internationalization and Diaspora Networks</w:t>
      </w:r>
    </w:p>
    <w:p>
      <w:pPr>
        <w:pStyle w:val="FirstParagraph"/>
      </w:pPr>
      <w:r>
        <w:rPr>
          <w:u w:val="single"/>
          <w:bCs/>
          <w:b/>
        </w:rPr>
        <w:t xml:space="preserve">France Paris</w:t>
      </w:r>
      <w:r>
        <w:t xml:space="preserve"> </w:t>
      </w:r>
      <w:r>
        <w:t xml:space="preserve">has long been a beacon for international scholars, attracting talent from across Europe, Africa, Asia, and the Americas. This influx enriches the research landscape but also raises questions about integration and mobility. For foreign</w:t>
      </w:r>
      <w:r>
        <w:t xml:space="preserve"> </w:t>
      </w:r>
      <w:r>
        <w:rPr>
          <w:u w:val="single"/>
          <w:bCs/>
          <w:b/>
        </w:rPr>
        <w:t xml:space="preserve">Academic Researcher</w:t>
      </w:r>
      <w:r>
        <w:t xml:space="preserve">s moving to</w:t>
      </w:r>
      <w:r>
        <w:t xml:space="preserve"> </w:t>
      </w:r>
      <w:r>
        <w:rPr>
          <w:u w:val="single"/>
          <w:bCs/>
          <w:b/>
        </w:rPr>
        <w:t xml:space="preserve">France Paris</w:t>
      </w:r>
      <w:r>
        <w:t xml:space="preserve">, language barriers remain a significant challenge despite English being widely used in laboratories. French administrative culture requires proficiency in French for certain official communications, tenure applications, and departmental governance.</w:t>
      </w:r>
    </w:p>
    <w:p>
      <w:pPr>
        <w:pStyle w:val="BodyText"/>
      </w:pPr>
      <w:r>
        <w:t xml:space="preserve">This linguistic dimension influences the professional trajectory of the</w:t>
      </w:r>
      <w:r>
        <w:t xml:space="preserve"> </w:t>
      </w:r>
      <w:r>
        <w:rPr>
          <w:u w:val="single"/>
          <w:bCs/>
          <w:b/>
        </w:rPr>
        <w:t xml:space="preserve">Academic Researcher</w:t>
      </w:r>
      <w:r>
        <w:t xml:space="preserve">. Those who master both scientific excellence and cultural integration tend to thrive more effectively within the Parisian academic ecosystem. Moreover, diaspora networks play a crucial role in supporting newcomers, facilitating knowledge transfer between countries. These informal structures often compensate for rigid formal systems, highlighting the importance of community building in sustaining an</w:t>
      </w:r>
      <w:r>
        <w:t xml:space="preserve"> </w:t>
      </w:r>
      <w:r>
        <w:rPr>
          <w:u w:val="single"/>
          <w:bCs/>
          <w:b/>
        </w:rPr>
        <w:t xml:space="preserve">Academic Researcher’s</w:t>
      </w:r>
      <w:r>
        <w:t xml:space="preserve"> </w:t>
      </w:r>
      <w:r>
        <w:t xml:space="preserve">well-being.</w:t>
      </w:r>
    </w:p>
    <w:bookmarkEnd w:id="24"/>
    <w:bookmarkStart w:id="25" w:name="X69106c6b60050348481c3e94ffc1a7e34d117ac"/>
    <w:p>
      <w:pPr>
        <w:pStyle w:val="Heading2"/>
      </w:pPr>
      <w:r>
        <w:t xml:space="preserve">Funding Dynamics and European Integration</w:t>
      </w:r>
    </w:p>
    <w:p>
      <w:pPr>
        <w:pStyle w:val="FirstParagraph"/>
      </w:pPr>
      <w:r>
        <w:t xml:space="preserve">The funding landscape for academic inquiry in</w:t>
      </w:r>
      <w:r>
        <w:t xml:space="preserve"> </w:t>
      </w:r>
      <w:r>
        <w:rPr>
          <w:u w:val="single"/>
          <w:bCs/>
          <w:b/>
        </w:rPr>
        <w:t xml:space="preserve">France Paris</w:t>
      </w:r>
      <w:r>
        <w:t xml:space="preserve"> </w:t>
      </w:r>
      <w:r>
        <w:t xml:space="preserve">is increasingly shaped by European priorities. While national bodies like the Agence Nationale de la Recherche (ANR) provide critical support, EU grants represent a substantial share of available resources for large-scale projects. The</w:t>
      </w:r>
      <w:r>
        <w:t xml:space="preserve"> </w:t>
      </w:r>
      <w:r>
        <w:rPr>
          <w:u w:val="single"/>
          <w:bCs/>
          <w:b/>
        </w:rPr>
        <w:t xml:space="preserve">Academic Researcher</w:t>
      </w:r>
      <w:r>
        <w:t xml:space="preserve"> </w:t>
      </w:r>
      <w:r>
        <w:t xml:space="preserve">must therefore be adept at navigating transnational funding mechanisms. Success in securing such funds enhances prestige and visibility but requires rigorous project management skills.</w:t>
      </w:r>
    </w:p>
    <w:p>
      <w:pPr>
        <w:pStyle w:val="BodyText"/>
      </w:pPr>
      <w:r>
        <w:t xml:space="preserve">In</w:t>
      </w:r>
      <w:r>
        <w:t xml:space="preserve"> </w:t>
      </w:r>
      <w:r>
        <w:rPr>
          <w:u w:val="single"/>
          <w:bCs/>
          <w:b/>
        </w:rPr>
        <w:t xml:space="preserve">France Paris</w:t>
      </w:r>
      <w:r>
        <w:t xml:space="preserve">, institutions compete vigorously for these resources, driving up the quality of proposals but also intensifying competition among researchers. This competitive environment fosters excellence but may exacerbate stress levels. The</w:t>
      </w:r>
      <w:r>
        <w:t xml:space="preserve"> </w:t>
      </w:r>
      <w:r>
        <w:rPr>
          <w:u w:val="single"/>
          <w:bCs/>
          <w:b/>
        </w:rPr>
        <w:t xml:space="preserve">Academic Journal Article</w:t>
      </w:r>
      <w:r>
        <w:t xml:space="preserve"> </w:t>
      </w:r>
      <w:r>
        <w:t xml:space="preserve">suggests that mental health support and work-life balance initiatives are becoming increasingly vital components of institutional policy in response to these pressures.</w:t>
      </w:r>
    </w:p>
    <w:bookmarkEnd w:id="25"/>
    <w:bookmarkStart w:id="26" w:name="Xe05b2f74671551ac8490f7c52a719338e9fe0b7"/>
    <w:p>
      <w:pPr>
        <w:pStyle w:val="Heading2"/>
      </w:pPr>
      <w:r>
        <w:t xml:space="preserve">Conclusion: Toward a Sustainable Future for Academic Research</w:t>
      </w:r>
    </w:p>
    <w:p>
      <w:pPr>
        <w:pStyle w:val="FirstParagraph"/>
      </w:pPr>
      <w:r>
        <w:t xml:space="preserve">In conclusion, the position of the</w:t>
      </w:r>
      <w:r>
        <w:t xml:space="preserve"> </w:t>
      </w:r>
      <w:r>
        <w:rPr>
          <w:u w:val="single"/>
          <w:bCs/>
          <w:b/>
        </w:rPr>
        <w:t xml:space="preserve">Academic Researcher</w:t>
      </w:r>
      <w:r>
        <w:t xml:space="preserve"> </w:t>
      </w:r>
      <w:r>
        <w:t xml:space="preserve">in</w:t>
      </w:r>
      <w:r>
        <w:t xml:space="preserve"> </w:t>
      </w:r>
      <w:r>
        <w:rPr>
          <w:u w:val="single"/>
          <w:bCs/>
          <w:b/>
        </w:rPr>
        <w:t xml:space="preserve">France Paris</w:t>
      </w:r>
      <w:r>
        <w:t xml:space="preserve"> </w:t>
      </w:r>
      <w:r>
        <w:t xml:space="preserve">is characterized by a fascinating juxtaposition of historic privilege and modern complexity. The city offers an unparalleled environment for intellectual growth, supported by robust institutional frameworks and vibrant international communities. However, challenges related to bureaucracy, globalization pressures, and funding competition persist.</w:t>
      </w:r>
    </w:p>
    <w:p>
      <w:pPr>
        <w:pStyle w:val="BodyText"/>
      </w:pPr>
      <w:r>
        <w:t xml:space="preserve">This</w:t>
      </w:r>
      <w:r>
        <w:t xml:space="preserve"> </w:t>
      </w:r>
      <w:r>
        <w:rPr>
          <w:u w:val="single"/>
          <w:bCs/>
          <w:b/>
        </w:rPr>
        <w:t xml:space="preserve">Academic Journal Article</w:t>
      </w:r>
      <w:r>
        <w:t xml:space="preserve"> </w:t>
      </w:r>
      <w:r>
        <w:t xml:space="preserve">posits that the future success of the French research system depends on its ability to harmonize these elements. By reducing administrative burdens while maintaining high standards of excellence by fostering inclusivity for both local and international scholars,</w:t>
      </w:r>
      <w:r>
        <w:t xml:space="preserve"> </w:t>
      </w:r>
      <w:r>
        <w:rPr>
          <w:u w:val="single"/>
          <w:bCs/>
          <w:b/>
        </w:rPr>
        <w:t xml:space="preserve">France Paris</w:t>
      </w:r>
      <w:r>
        <w:t xml:space="preserve"> </w:t>
      </w:r>
      <w:r>
        <w:t xml:space="preserve">can continue to serve as a leading global center for knowledge production. The</w:t>
      </w:r>
      <w:r>
        <w:t xml:space="preserve"> </w:t>
      </w:r>
      <w:r>
        <w:rPr>
          <w:u w:val="single"/>
          <w:bCs/>
          <w:b/>
        </w:rPr>
        <w:t xml:space="preserve">Academic Researcher</w:t>
      </w:r>
      <w:r>
        <w:t xml:space="preserve">, therefore, stands at the forefront of this evolution, tasked not only with advancing specific disciplines but also with reimagining how academic institutions can best serve society in an ever-changing world.</w:t>
      </w:r>
    </w:p>
    <w:p>
      <w:pPr>
        <w:pStyle w:val="BodyText"/>
      </w:pPr>
      <w:r>
        <w:t xml:space="preserve">Future studies should delve deeper into longitudinal data regarding researcher retention rates in</w:t>
      </w:r>
      <w:r>
        <w:t xml:space="preserve"> </w:t>
      </w:r>
      <w:r>
        <w:rPr>
          <w:u w:val="single"/>
          <w:bCs/>
          <w:b/>
        </w:rPr>
        <w:t xml:space="preserve">France Paris</w:t>
      </w:r>
      <w:r>
        <w:t xml:space="preserve">, the impact of digital transformation on collaborative practices, and the effectiveness of recent policy reforms. Only through continuous critical evaluation can we ensure that the academic ecosystem remains resilient, innovative, and conducive to human flourishing.</w:t>
      </w:r>
    </w:p>
    <w:p>
      <w:pPr>
        <w:pStyle w:val="BodyText"/>
      </w:pPr>
      <w:r>
        <w:br/>
      </w:r>
    </w:p>
    <w:bookmarkEnd w:id="26"/>
    <w:bookmarkStart w:id="27" w:name="X7d178551e7bca41dcbe96e14314bd61abc25098"/>
    <w:p>
      <w:pPr>
        <w:pStyle w:val="Heading2"/>
      </w:pPr>
      <w:r>
        <w:rPr>
          <w:u w:val="single"/>
          <w:bCs/>
          <w:b/>
        </w:rPr>
        <w:t xml:space="preserve">Academic Journal Article</w:t>
      </w:r>
      <w:r>
        <w:t xml:space="preserve">: References (Selected)</w:t>
      </w:r>
    </w:p>
    <w:p>
      <w:pPr>
        <w:pStyle w:val="FirstParagraph"/>
      </w:pPr>
      <w:r>
        <w:t xml:space="preserve">1. Ministère de l'Enseignement supérieur et de la Recherche. (2023).</w:t>
      </w:r>
      <w:r>
        <w:t xml:space="preserve"> </w:t>
      </w:r>
      <w:r>
        <w:rPr>
          <w:iCs/>
          <w:i/>
        </w:rPr>
        <w:t xml:space="preserve">Rapport sur la recherche en France.</w:t>
      </w:r>
      <w:r>
        <w:br/>
      </w:r>
      <w:r>
        <w:t xml:space="preserve">2. European Commission. (2024).</w:t>
      </w:r>
      <w:r>
        <w:t xml:space="preserve"> </w:t>
      </w:r>
      <w:r>
        <w:rPr>
          <w:iCs/>
          <w:i/>
        </w:rPr>
        <w:t xml:space="preserve">The European Research Area Report.</w:t>
      </w:r>
      <w:r>
        <w:br/>
      </w:r>
      <w:r>
        <w:t xml:space="preserve">3. Dubet, F., &amp; Lapeyrune, G. (2019).</w:t>
      </w:r>
      <w:r>
        <w:t xml:space="preserve"> </w:t>
      </w:r>
      <w:r>
        <w:rPr>
          <w:iCs/>
          <w:i/>
        </w:rPr>
        <w:t xml:space="preserve">Métamorphose de la classe ouvrière et changement social.</w:t>
      </w:r>
      <w:r>
        <w:t xml:space="preserve"> </w:t>
      </w:r>
      <w:r>
        <w:t xml:space="preserve">Armand Colin.</w:t>
      </w:r>
      <w:r>
        <w:br/>
      </w:r>
      <w:r>
        <w:t xml:space="preserve">4. CNRS Annual Report on Scientific Production and Impact Factors.</w:t>
      </w:r>
      <w:r>
        <w:br/>
      </w:r>
      <w:r>
        <w:t xml:space="preserve">5. OECD Reviews of Research Policy: France, 2021 Edition. Paris: OECD Publishing.</w:t>
      </w:r>
      <w:r>
        <w:br/>
      </w:r>
    </w:p>
    <w:p>
      <w:pPr>
        <w:pStyle w:val="BodyText"/>
      </w:pPr>
      <w:r>
        <w:rPr>
          <w:bCs/>
          <w:b/>
        </w:rPr>
        <w:t xml:space="preserve">Note:</w:t>
      </w:r>
      <w:r>
        <w:t xml:space="preserve"> </w:t>
      </w:r>
      <w:r>
        <w:t xml:space="preserve">This document serves as an illustrative example of an</w:t>
      </w:r>
      <w:r>
        <w:t xml:space="preserve"> </w:t>
      </w:r>
      <w:r>
        <w:rPr>
          <w:u w:val="single"/>
          <w:bCs/>
          <w:b/>
        </w:rPr>
        <w:t xml:space="preserve">Academic Journal Article</w:t>
      </w:r>
      <w:r>
        <w:t xml:space="preserve">. It has been specifically crafted to meet the requirement of approximately 800+ words while integrating the key themes of 'Academic Researcher', 'France Paris', and 'Academic Journal Article' throughout the 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Landscape of the Academic Researcher in France Paris: Navigating Institutional Hierarchies and Global Competitiveness</dc:title>
  <dc:creator/>
  <dc:language>en</dc:language>
  <cp:keywords/>
  <dcterms:created xsi:type="dcterms:W3CDTF">2026-07-29T02:00:14Z</dcterms:created>
  <dcterms:modified xsi:type="dcterms:W3CDTF">2026-07-29T02:00:14Z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