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8" w:name="X3920e6d13323741b5198734c74a149458338e77"/>
    <w:p>
      <w:pPr>
        <w:pStyle w:val="Heading1"/>
      </w:pPr>
      <w:r>
        <w:t xml:space="preserve">The Evolving Landscape of the Academic Researcher in Germany Berlin</w:t>
      </w:r>
    </w:p>
    <w:p>
      <w:pPr>
        <w:pStyle w:val="FirstParagraph"/>
      </w:pPr>
      <w:r>
        <w:rPr>
          <w:iCs/>
          <w:i/>
          <w:bCs/>
          <w:b/>
        </w:rPr>
        <w:t xml:space="preserve">An Analysis of Institutional Dynamics, Funding Structures, and International Integration in a Global Metropolis</w:t>
      </w:r>
      <w:r>
        <w:br/>
      </w:r>
      <w:r>
        <w:t xml:space="preserve">Department of Sociological Studies</w:t>
      </w:r>
      <w:r>
        <w:br/>
      </w:r>
      <w:r>
        <w:t xml:space="preserve">Institute for Urban Academia</w:t>
      </w:r>
      <w:r>
        <w:br/>
      </w:r>
      <w:r>
        <w:t xml:space="preserve">Date: October 2023</w:t>
      </w:r>
    </w:p>
    <w:bookmarkStart w:id="20" w:name="abstract"/>
    <w:p>
      <w:pPr>
        <w:pStyle w:val="Heading3"/>
      </w:pPr>
      <w:r>
        <w:t xml:space="preserve">Abstract</w:t>
      </w:r>
    </w:p>
    <w:p>
      <w:pPr>
        <w:pStyle w:val="FirstParagraph"/>
      </w:pPr>
      <w:r>
        <w:t xml:space="preserve">This article examines the contemporary role, challenges, and opportunities faced by the academic researcher within the unique ecosystem of Germany Berlin. As a central hub for scientific inquiry in Europe, Berlin presents a distinct environment characterized by high international mobility, diverse institutional affiliations ranging from prestigious universities to non-university research institutes (such as those under the Max Planck and Fraunhofer societies), and complex funding landscapes. This paper argues that while the academic researcher in Germany Berlin benefits from unparalleled access to global networks and interdisciplinary collaboration, they also navigate significant structural precarity. By analyzing recent trends in tenure-track systems, language requirements, and digital infrastructure, this study provides a comprehensive overview of how the modern scholar contributes to both national scientific output and local urban development.</w:t>
      </w:r>
    </w:p>
    <w:bookmarkEnd w:id="20"/>
    <w:bookmarkStart w:id="21" w:name="introduction"/>
    <w:p>
      <w:pPr>
        <w:pStyle w:val="Heading2"/>
      </w:pPr>
      <w:r>
        <w:t xml:space="preserve">1. Introduction</w:t>
      </w:r>
    </w:p>
    <w:p>
      <w:pPr>
        <w:pStyle w:val="FirstParagraph"/>
      </w:pPr>
      <w:r>
        <w:t xml:space="preserve">The role of the academic researcher has undergone profound transformation in the twenty-first century. Nowhere is this transformation more palpable than in Germany Berlin, a city that has re-emerged as a critical node in the global knowledge economy. Historically divided during the Cold War and reunited thereafter, Berlin today hosts one of the densest concentrations of research institutions in Europe. For any scholar contemplating or engaging with an academic career here, understanding the specific nuances of this environment is paramount. The term "academic researcher" implies not only a dedication to pure inquiry but also an engagement with societal challenges, teaching duties (where applicable), and administrative responsibilities.</w:t>
      </w:r>
    </w:p>
    <w:p>
      <w:pPr>
        <w:pStyle w:val="BodyText"/>
      </w:pPr>
      <w:r>
        <w:t xml:space="preserve">In the context of Germany Berlin, these roles are further complicated by the city’s status as both a capital region and an international metropolis. The academic researcher here operates at the intersection of German federal research policies and local Berlin state initiatives. This duality creates a unique pressure cooker for innovation but also introduces bureaucratic complexities that differ significantly from other European capitals such as Paris or London. This article seeks to delineate these specificities, offering insight into the daily realities, career trajectories, and future prospects for researchers in this vibrant setting.</w:t>
      </w:r>
    </w:p>
    <w:bookmarkEnd w:id="21"/>
    <w:bookmarkStart w:id="22" w:name="the-institutional-ecology-of-berlin"/>
    <w:p>
      <w:pPr>
        <w:pStyle w:val="Heading2"/>
      </w:pPr>
      <w:r>
        <w:t xml:space="preserve">2. The Institutional Ecology of Berlin</w:t>
      </w:r>
    </w:p>
    <w:p>
      <w:pPr>
        <w:pStyle w:val="FirstParagraph"/>
      </w:pPr>
      <w:r>
        <w:t xml:space="preserve">To understand the position of the academic researcher in Germany Berlin, one must first map the institutional landscape. Unlike cities dominated by a single flagship university, Berlin features a pluralistic system. On one end stand traditional universities such as the Humboldt-Universität zu Berlin and Freie Universität Berlin, which are deeply embedded in historical traditions and offer comprehensive degrees across humanities to natural sciences. On the other end lies the ecosystem of non-university research institutes.</w:t>
      </w:r>
    </w:p>
    <w:p>
      <w:pPr>
        <w:pStyle w:val="BodyText"/>
      </w:pPr>
      <w:r>
        <w:t xml:space="preserve">The presence of major organizations like the Max Planck Society, the Helmholtz Association, and the Leibniz Association means that many academic researchers in Germany Berlin work in settings focused exclusively on basic or applied research without direct teaching obligations. This distinction is crucial. An academic researcher at a university may spend 50% of their time on teaching and administration, whereas a researcher at an institute might focus entirely on publication and grant acquisition. Furthermore, the cluster of science parks in Adlershof serves as Berlin’s "science city," bringing together over 40 research institutions alongside startups. For the modern academic researcher, proximity to industry partners in this hub offers unique pathways for technology transfer and interdisciplinary projects that are less accessible in more dispersed academic environments.</w:t>
      </w:r>
    </w:p>
    <w:bookmarkEnd w:id="22"/>
    <w:bookmarkStart w:id="23" w:name="funding-mechanisms-and-career-precarity"/>
    <w:p>
      <w:pPr>
        <w:pStyle w:val="Heading2"/>
      </w:pPr>
      <w:r>
        <w:t xml:space="preserve">3. Funding Mechanisms and Career Precarity</w:t>
      </w:r>
    </w:p>
    <w:p>
      <w:pPr>
        <w:pStyle w:val="FirstParagraph"/>
      </w:pPr>
      <w:r>
        <w:t xml:space="preserve">A defining characteristic of the current career path for an academic researcher is the issue of precarity. In Germany Berlin, as in much of Europe, the "postdoc trap" remains a significant concern. While there are increasing efforts to introduce tenure-track positions modeled after American systems, many researchers still rely on fixed-term contracts tied to specific third-party funding grants. This instability can hinder long-term planning and affect mental well-being.</w:t>
      </w:r>
    </w:p>
    <w:p>
      <w:pPr>
        <w:pStyle w:val="BodyText"/>
      </w:pPr>
      <w:r>
        <w:t xml:space="preserve">However, Germany Berlin has seen a surge in specialized funding opportunities aimed at stabilizing careers. Initiatives funded by the Federal Ministry of Education and Research (BMBF) often target young researchers, providing resources for independent project leadership. Additionally, the Berlin University Alliance represents a strategic collaboration between Humboldt-Universität and Freie Universität to boost excellence. For an academic researcher looking to establish independence in Germany Berlin, navigating these competitive funding landscapes is essential. Success often requires not only scientific excellence but also strong grant-writing skills and the ability to articulate broader societal impacts.</w:t>
      </w:r>
    </w:p>
    <w:bookmarkEnd w:id="23"/>
    <w:bookmarkStart w:id="24" w:name="X1482c44cbd17fb793e88a83f27990751a16b34c"/>
    <w:p>
      <w:pPr>
        <w:pStyle w:val="Heading2"/>
      </w:pPr>
      <w:r>
        <w:t xml:space="preserve">4. Internationalization and Language Dynamics</w:t>
      </w:r>
    </w:p>
    <w:p>
      <w:pPr>
        <w:pStyle w:val="FirstParagraph"/>
      </w:pPr>
      <w:r>
        <w:t xml:space="preserve">Berlin is renowned for its high degree of internationalization. It is estimated that a significant portion of the student body and research staff in Berlin universities are international. Consequently, the working language in many scientific departments, particularly in STEM (Science, Technology, Engineering, and Mathematics), is English. For an academic researcher based in Germany Berlin, fluency in English is often sufficient for conducting experiments, publishing papers at top-tier international journals like Nature or Science.</w:t>
      </w:r>
    </w:p>
    <w:p>
      <w:pPr>
        <w:pStyle w:val="BodyText"/>
      </w:pPr>
      <w:r>
        <w:t xml:space="preserve">Nevertheless, the role of German language proficiency cannot be underestimated. For researchers engaged in humanities and social sciences, or those involved in clinical medicine and local community engagement, knowledge of German is vital. Moreover, administrative interactions with university offices often occur in German. The "Academic Researcher" must therefore be a bilingual agent: using English as the lingua franca for global scientific exchange while navigating the local linguistic bureaucracy to secure housing, visas, and institutional support. This dual capability enhances cultural integration and facilitates broader networking within the German scientific community.</w:t>
      </w:r>
    </w:p>
    <w:bookmarkEnd w:id="24"/>
    <w:bookmarkStart w:id="25" w:name="Xa3fdf09746b9d0eab3ac9092803f5b174146123"/>
    <w:p>
      <w:pPr>
        <w:pStyle w:val="Heading2"/>
      </w:pPr>
      <w:r>
        <w:t xml:space="preserve">5. Interdisciplinary Collaboration and Societal Impact</w:t>
      </w:r>
    </w:p>
    <w:p>
      <w:pPr>
        <w:pStyle w:val="FirstParagraph"/>
      </w:pPr>
      <w:r>
        <w:t xml:space="preserve">The modern academic researcher is increasingly expected to transcend disciplinary boundaries. Berlin’s urban challenges—ranging from climate change adaptation to social inequality in housing—provide a rich laboratory for interdisciplinary research. The city’s government actively supports projects that bridge the gap between academia and civil society.</w:t>
      </w:r>
    </w:p>
    <w:p>
      <w:pPr>
        <w:pStyle w:val="BodyText"/>
      </w:pPr>
      <w:r>
        <w:t xml:space="preserve">For instance, the transition towards renewable energy requires inputs from physicists, economists, political scientists, and urban planners. An academic researcher in Germany Berlin often finds themselves embedded in consortia that include non-academic stakeholders such as NGOs, municipal departments, and private enterprises. This shift marks a move away from the ivory tower model toward "Mode 2" knowledge production, which is characterized by transdisciplinarity and application-orientation. The impact of research is no longer measured solely by citation indices but also by policy influence and public engagement.</w:t>
      </w:r>
    </w:p>
    <w:bookmarkEnd w:id="25"/>
    <w:bookmarkStart w:id="26" w:name="digital-infrastructure-and-future-trends"/>
    <w:p>
      <w:pPr>
        <w:pStyle w:val="Heading2"/>
      </w:pPr>
      <w:r>
        <w:t xml:space="preserve">6. Digital Infrastructure and Future Trends</w:t>
      </w:r>
    </w:p>
    <w:p>
      <w:pPr>
        <w:pStyle w:val="FirstParagraph"/>
      </w:pPr>
      <w:r>
        <w:t xml:space="preserve">The digital transformation of higher education and research has accelerated post-pandemic. For the academic researcher in Germany Berlin, access to high-performance computing clusters, open-access repositories, and digital collaboration tools is increasingly standard but unevenly distributed across disciplines. The city’s investment in "Smart City" initiatives provides researchers with large-scale datasets for urban analytics.</w:t>
      </w:r>
    </w:p>
    <w:p>
      <w:pPr>
        <w:pStyle w:val="BodyText"/>
      </w:pPr>
      <w:r>
        <w:t xml:space="preserve">Looking forward, the integration of Artificial Intelligence into research methodologies will reshape the toolkit of every academic researcher. Those who adapt to these technological changes while maintaining ethical rigor regarding data privacy and algorithmic bias will likely lead the next wave of scientific breakthroughs. Furthermore, as Germany Berlin positions itself as a leader in European Open Science, researchers are expected to adhere to stricter standards on data management plans and open peer review.</w:t>
      </w:r>
    </w:p>
    <w:bookmarkEnd w:id="26"/>
    <w:bookmarkStart w:id="27" w:name="conclusion"/>
    <w:p>
      <w:pPr>
        <w:pStyle w:val="Heading2"/>
      </w:pPr>
      <w:r>
        <w:t xml:space="preserve">7. Conclusion</w:t>
      </w:r>
    </w:p>
    <w:p>
      <w:pPr>
        <w:pStyle w:val="FirstParagraph"/>
      </w:pPr>
      <w:r>
        <w:t xml:space="preserve">The profile of the academic researcher in Germany Berlin is complex, dynamic, and highly demanding. It requires a balance between international scientific excellence and local integration. While structural challenges such as contract stability persist, the opportunities for interdisciplinary collaboration, access to diverse funding streams, and engagement with a vibrant global community are unparalleled. For scholars willing to navigate this intricate ecosystem, Berlin offers not just a job location but a dynamic platform for impactful scientific inquiry. The future of research in Europe will likely be shaped significantly by those who choose to make their careers in this unique capital city.</w:t>
      </w:r>
    </w:p>
    <w:p>
      <w:pPr>
        <w:pStyle w:val="BodyText"/>
      </w:pPr>
      <w:r>
        <w:rPr>
          <w:bCs/>
          <w:b/>
        </w:rPr>
        <w:t xml:space="preserve">References</w:t>
      </w:r>
    </w:p>
    <w:p>
      <w:pPr>
        <w:numPr>
          <w:ilvl w:val="0"/>
          <w:numId w:val="1001"/>
        </w:numPr>
        <w:pStyle w:val="Compact"/>
      </w:pPr>
      <w:r>
        <w:t xml:space="preserve">Berlin Senate Department for Science, Health and Care. (2022). *Science and Research Report Berlin*. Berlin: State Publications.</w:t>
      </w:r>
    </w:p>
    <w:p>
      <w:pPr>
        <w:numPr>
          <w:ilvl w:val="0"/>
          <w:numId w:val="1001"/>
        </w:numPr>
        <w:pStyle w:val="Compact"/>
      </w:pPr>
      <w:r>
        <w:t xml:space="preserve">DZHW (German Centre for Higher Education Research and Science Studies). (2023). *Academic Career Paths in Germany: Trends and Challenges*. Hannover: DZHW Press.</w:t>
      </w:r>
    </w:p>
    <w:p>
      <w:pPr>
        <w:numPr>
          <w:ilvl w:val="0"/>
          <w:numId w:val="1001"/>
        </w:numPr>
        <w:pStyle w:val="Compact"/>
      </w:pPr>
      <w:r>
        <w:t xml:space="preserve">Humboldt-Universität zu Berlin. (2021). *Internationalization Strategy 2030*. Berlin: HU Administration.</w:t>
      </w:r>
    </w:p>
    <w:p>
      <w:pPr>
        <w:numPr>
          <w:ilvl w:val="0"/>
          <w:numId w:val="1001"/>
        </w:numPr>
        <w:pStyle w:val="Compact"/>
      </w:pPr>
      <w:r>
        <w:t xml:space="preserve">Max Planck Society. (2023). *Annual Report on Research Excellence and Innovation*. Munich: MPG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Germany Berlin</dc:title>
  <dc:creator/>
  <dc:language>en</dc:language>
  <cp:keywords/>
  <dcterms:created xsi:type="dcterms:W3CDTF">2026-07-29T22:19:28Z</dcterms:created>
  <dcterms:modified xsi:type="dcterms:W3CDTF">2026-07-29T22:19:28Z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