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29" w:name="Xe47d09cbc47f248d2cdc18abce265dd25a40ef3"/>
    <w:p>
      <w:pPr>
        <w:pStyle w:val="Heading1"/>
      </w:pPr>
      <w:r>
        <w:t xml:space="preserve">The Evolution and Impact of the Academic Researcher in Germany:</w:t>
      </w:r>
      <w:r>
        <w:br/>
      </w:r>
      <w:r>
        <w:t xml:space="preserve">A Focus on Frankfurt am Main</w:t>
      </w:r>
    </w:p>
    <w:p>
      <w:pPr>
        <w:pStyle w:val="FirstParagraph"/>
      </w:pPr>
      <w:r>
        <w:rPr>
          <w:bCs/>
          <w:b/>
        </w:rPr>
        <w:t xml:space="preserve">Abstract</w:t>
      </w:r>
    </w:p>
    <w:p>
      <w:pPr>
        <w:pStyle w:val="BodyText"/>
      </w:pPr>
      <w:r>
        <w:t xml:space="preserve">This article explores the multifaceted role of the modern Academic Researcher within the German higher education system, with a specific emphasis on the unique academic ecosystem of Germany Frankfurt. As one of Europe’s leading financial and intellectual hubs, Germany Frankfurt serves as a critical node for interdisciplinary collaboration, particularly in economics, law, and natural sciences. This paper analyzes the structural changes facing Academic Researchers in post-Bologna Europe, examining how institutional pressures in cities like Germany Frankfurt influence research output, pedagogical methods, and societal engagement. The findings suggest that while the role of an Academic Researcher is becoming increasingly commodified and metric-driven, the vibrant international environment of Germany Frankfurt offers unique opportunities for innovation and cross-border collaboration.</w:t>
      </w:r>
    </w:p>
    <w:p>
      <w:pPr>
        <w:pStyle w:val="BodyText"/>
      </w:pPr>
      <w:r>
        <w:t xml:space="preserve">Keywords: Academic Researcher; Germany Frankfurt; Higher Education Reform; Interdisciplinary Studies;</w:t>
      </w:r>
    </w:p>
    <w:bookmarkStart w:id="20" w:name="introduction"/>
    <w:p>
      <w:pPr>
        <w:pStyle w:val="Heading2"/>
      </w:pPr>
      <w:r>
        <w:t xml:space="preserve">1. Introduction</w:t>
      </w:r>
    </w:p>
    <w:p>
      <w:pPr>
        <w:pStyle w:val="FirstParagraph"/>
      </w:pPr>
      <w:r>
        <w:t xml:space="preserve">The landscape of higher education in Europe has undergone profound transformations over the last three decades, driven by the Bologna Process and subsequent national reforms. Central to these changes is the redefinition of the</w:t>
      </w:r>
      <w:r>
        <w:t xml:space="preserve"> </w:t>
      </w:r>
      <w:r>
        <w:rPr>
          <w:bCs/>
          <w:b/>
        </w:rPr>
        <w:t xml:space="preserve">Academic Researcher</w:t>
      </w:r>
      <w:r>
        <w:t xml:space="preserve">. No longer solely a custodian of knowledge within the ivory tower, today’s researcher is expected to be an innovator, a grant seeker, and an active participant in global networks. Nowhere is this tension between traditional academic values and modern performance metrics more palpable than in Germany. Specifically,</w:t>
      </w:r>
      <w:r>
        <w:t xml:space="preserve"> </w:t>
      </w:r>
      <w:r>
        <w:rPr>
          <w:bCs/>
          <w:b/>
        </w:rPr>
        <w:t xml:space="preserve">Germany Frankfurt</w:t>
      </w:r>
      <w:r>
        <w:t xml:space="preserve">, home to Goethe University Frankfurt (JGU) and several major research institutes such as the Max Planck Institute for Social Law and Social Policy, represents a microcosm of these broader trends.</w:t>
      </w:r>
    </w:p>
    <w:p>
      <w:pPr>
        <w:pStyle w:val="BodyText"/>
      </w:pPr>
      <w:r>
        <w:t xml:space="preserve">This article argues that the identity of an</w:t>
      </w:r>
      <w:r>
        <w:t xml:space="preserve"> </w:t>
      </w:r>
      <w:r>
        <w:rPr>
          <w:bCs/>
          <w:b/>
        </w:rPr>
        <w:t xml:space="preserve">Academic Researcher</w:t>
      </w:r>
      <w:r>
        <w:t xml:space="preserve"> </w:t>
      </w:r>
      <w:r>
        <w:t xml:space="preserve">in</w:t>
      </w:r>
      <w:r>
        <w:t xml:space="preserve"> </w:t>
      </w:r>
      <w:r>
        <w:rPr>
          <w:bCs/>
          <w:b/>
        </w:rPr>
        <w:t xml:space="preserve">Germany Frankfurt</w:t>
      </w:r>
      <w:r>
        <w:t xml:space="preserve"> </w:t>
      </w:r>
      <w:r>
        <w:t xml:space="preserve">is shaped by a unique triad of factors: rigorous institutional standards, intense international competition, and the city’s status as a gateway to global finance and trade. Understanding this dynamic is crucial for policymakers and academic leaders aiming to sustain excellence in research while supporting the well-being of scholars.</w:t>
      </w:r>
    </w:p>
    <w:bookmarkEnd w:id="20"/>
    <w:bookmarkStart w:id="21" w:name="Xd82029cadaae23885927170a5bd2d234a3df95b"/>
    <w:p>
      <w:pPr>
        <w:pStyle w:val="Heading2"/>
      </w:pPr>
      <w:r>
        <w:t xml:space="preserve">2. The Structural Context: The German Higher Education System</w:t>
      </w:r>
    </w:p>
    <w:p>
      <w:pPr>
        <w:pStyle w:val="FirstParagraph"/>
      </w:pPr>
      <w:r>
        <w:t xml:space="preserve">To understand the position of an</w:t>
      </w:r>
      <w:r>
        <w:t xml:space="preserve"> </w:t>
      </w:r>
      <w:r>
        <w:rPr>
          <w:bCs/>
          <w:b/>
        </w:rPr>
        <w:t xml:space="preserve">Academic Researcher</w:t>
      </w:r>
      <w:r>
        <w:t xml:space="preserve">, one must first appreciate the structural framework of German academia. Historically, Germany has been known for its Humboldtian model, which emphasized unity between teaching and research (*Einheit von Lehre und Forschung*). However, recent shifts toward New Public Management have introduced performance-based funding models. This shift places significant pressure on individual scholars to publish in high-impact journals and secure external funding.</w:t>
      </w:r>
    </w:p>
    <w:p>
      <w:pPr>
        <w:pStyle w:val="BodyText"/>
      </w:pPr>
      <w:r>
        <w:t xml:space="preserve">In</w:t>
      </w:r>
      <w:r>
        <w:t xml:space="preserve"> </w:t>
      </w:r>
      <w:r>
        <w:rPr>
          <w:bCs/>
          <w:b/>
        </w:rPr>
        <w:t xml:space="preserve">Germany Frankfurt</w:t>
      </w:r>
      <w:r>
        <w:t xml:space="preserve">, these pressures are amplified by the city’s competitive environment. Unlike smaller university towns, Frankfurt is a metropolitan center where universities compete for talent not only with other German institutions but also with international counterparts. For an</w:t>
      </w:r>
      <w:r>
        <w:t xml:space="preserve"> </w:t>
      </w:r>
      <w:r>
        <w:rPr>
          <w:bCs/>
          <w:b/>
        </w:rPr>
        <w:t xml:space="preserve">Academic Researcher</w:t>
      </w:r>
      <w:r>
        <w:t xml:space="preserve">, this means that career progression often depends on visibility and impact factors that transcend national borders. The transition from the traditional Habilitation to the junior professorship model has further accelerated this trend, creating a more flexible but also more precarious career path for early-career scholars.</w:t>
      </w:r>
    </w:p>
    <w:bookmarkEnd w:id="21"/>
    <w:bookmarkStart w:id="24" w:name="X4862ecdf3c40e913b235038835195c9449ab62f"/>
    <w:p>
      <w:pPr>
        <w:pStyle w:val="Heading2"/>
      </w:pPr>
      <w:r>
        <w:t xml:space="preserve">3. Frankfurt as an Academic Hub: Economics, Law, and Beyond</w:t>
      </w:r>
    </w:p>
    <w:p>
      <w:pPr>
        <w:pStyle w:val="FirstParagraph"/>
      </w:pPr>
      <w:r>
        <w:rPr>
          <w:bCs/>
          <w:b/>
        </w:rPr>
        <w:t xml:space="preserve">Germany Frankfurt</w:t>
      </w:r>
      <w:r>
        <w:t xml:space="preserve"> </w:t>
      </w:r>
      <w:r>
        <w:t xml:space="preserve">holds a distinct advantage due to its specialization in certain fields. Goethe University Frankfurt is renowned globally for its contributions to economics and law. Consequently, the role of an</w:t>
      </w:r>
      <w:r>
        <w:t xml:space="preserve"> </w:t>
      </w:r>
      <w:r>
        <w:rPr>
          <w:bCs/>
          <w:b/>
        </w:rPr>
        <w:t xml:space="preserve">Academic Researcher</w:t>
      </w:r>
      <w:r>
        <w:t xml:space="preserve"> </w:t>
      </w:r>
      <w:r>
        <w:t xml:space="preserve">here is heavily influenced by practical applications and policy relevance.</w:t>
      </w:r>
    </w:p>
    <w:bookmarkStart w:id="22" w:name="the-economic-dimension"/>
    <w:p>
      <w:pPr>
        <w:pStyle w:val="Heading3"/>
      </w:pPr>
      <w:r>
        <w:t xml:space="preserve">3.1 The Economic Dimension</w:t>
      </w:r>
    </w:p>
    <w:p>
      <w:pPr>
        <w:pStyle w:val="FirstParagraph"/>
      </w:pPr>
      <w:r>
        <w:t xml:space="preserve">The presence of the European Central Bank (ECB) and numerous financial institutions in Frankfurt creates a symbiotic relationship between academia and industry. For an</w:t>
      </w:r>
      <w:r>
        <w:t xml:space="preserve"> </w:t>
      </w:r>
      <w:r>
        <w:rPr>
          <w:bCs/>
          <w:b/>
        </w:rPr>
        <w:t xml:space="preserve">Academic Researcher</w:t>
      </w:r>
      <w:r>
        <w:t xml:space="preserve"> </w:t>
      </w:r>
      <w:r>
        <w:t xml:space="preserve">specializing in economics or finance, this proximity allows for unique data access, collaborative projects with practitioners, and rapid dissemination of research findings to policy-makers. However, it also raises questions about the independence of research when funded by private entities or closely tied to financial regulatory frameworks.</w:t>
      </w:r>
    </w:p>
    <w:bookmarkEnd w:id="22"/>
    <w:bookmarkStart w:id="23" w:name="legal-and-political-science"/>
    <w:p>
      <w:pPr>
        <w:pStyle w:val="Heading3"/>
      </w:pPr>
      <w:r>
        <w:t xml:space="preserve">3.2 Legal and Political Science</w:t>
      </w:r>
    </w:p>
    <w:p>
      <w:pPr>
        <w:pStyle w:val="FirstParagraph"/>
      </w:pPr>
      <w:r>
        <w:t xml:space="preserve">In the fields of law and political science,</w:t>
      </w:r>
      <w:r>
        <w:t xml:space="preserve"> </w:t>
      </w:r>
      <w:r>
        <w:rPr>
          <w:bCs/>
          <w:b/>
        </w:rPr>
        <w:t xml:space="preserve">Germany Frankfurt</w:t>
      </w:r>
      <w:r>
        <w:t xml:space="preserve"> </w:t>
      </w:r>
      <w:r>
        <w:t xml:space="preserve">serves as a bridge between national jurisprudence and European Union law.</w:t>
      </w:r>
      <w:r>
        <w:t xml:space="preserve"> </w:t>
      </w:r>
      <w:r>
        <w:rPr>
          <w:bCs/>
          <w:b/>
        </w:rPr>
        <w:t xml:space="preserve">Academic Researchers</w:t>
      </w:r>
      <w:r>
        <w:t xml:space="preserve"> </w:t>
      </w:r>
      <w:r>
        <w:t xml:space="preserve">in this sector often engage with the Federal Court of Justice (*Bundesgerichtshof*), which is located in Leipzig but frequently interacts with Frankfurt-based scholars on civil law matters. This interplay ensures that research remains grounded in real-world legal challenges, enhancing the societal impact of academic work.</w:t>
      </w:r>
    </w:p>
    <w:bookmarkEnd w:id="23"/>
    <w:bookmarkEnd w:id="24"/>
    <w:bookmarkStart w:id="25" w:name="challenges-faced-by-academic-researchers"/>
    <w:p>
      <w:pPr>
        <w:pStyle w:val="Heading2"/>
      </w:pPr>
      <w:r>
        <w:t xml:space="preserve">4. Challenges Faced by Academic Researchers</w:t>
      </w:r>
    </w:p>
    <w:p>
      <w:pPr>
        <w:pStyle w:val="FirstParagraph"/>
      </w:pPr>
      <w:r>
        <w:t xml:space="preserve">Despite these opportunities,</w:t>
      </w:r>
      <w:r>
        <w:t xml:space="preserve"> </w:t>
      </w:r>
      <w:r>
        <w:rPr>
          <w:bCs/>
          <w:b/>
        </w:rPr>
        <w:t xml:space="preserve">Academic Researchers</w:t>
      </w:r>
      <w:r>
        <w:t xml:space="preserve"> </w:t>
      </w:r>
      <w:r>
        <w:t xml:space="preserve">face significant challenges. The "publish or perish" culture can lead to burnout and mental health issues. In</w:t>
      </w:r>
      <w:r>
        <w:t xml:space="preserve"> </w:t>
      </w:r>
      <w:r>
        <w:rPr>
          <w:bCs/>
          <w:b/>
        </w:rPr>
        <w:t xml:space="preserve">Germany Frankfurt</w:t>
      </w:r>
      <w:r>
        <w:t xml:space="preserve">, where the cost of living is high, financial stability remains a concern for many postdoctoral researchers and junior faculty members who often rely on fixed-term contracts.</w:t>
      </w:r>
    </w:p>
    <w:p>
      <w:pPr>
        <w:pStyle w:val="BodyText"/>
      </w:pPr>
      <w:r>
        <w:t xml:space="preserve">Furthermore, the demand for interdisciplinary collaboration poses methodological challenges. While breaking down silos between departments is essential for solving complex global problems such as climate change or digital ethics, it requires time and resources that are often scarce.</w:t>
      </w:r>
      <w:r>
        <w:t xml:space="preserve"> </w:t>
      </w:r>
      <w:r>
        <w:rPr>
          <w:bCs/>
          <w:b/>
        </w:rPr>
        <w:t xml:space="preserve">Academic Researchers</w:t>
      </w:r>
      <w:r>
        <w:t xml:space="preserve"> </w:t>
      </w:r>
      <w:r>
        <w:t xml:space="preserve">must navigate rigid departmental structures while trying to build networks across faculties.</w:t>
      </w:r>
    </w:p>
    <w:bookmarkEnd w:id="25"/>
    <w:bookmarkStart w:id="26" w:name="X5ce525e2b7a8c45ed05d53ed6b76e7e92985fdf"/>
    <w:p>
      <w:pPr>
        <w:pStyle w:val="Heading2"/>
      </w:pPr>
      <w:r>
        <w:t xml:space="preserve">5. The Internationalization of Research in Frankfurt</w:t>
      </w:r>
    </w:p>
    <w:p>
      <w:pPr>
        <w:pStyle w:val="FirstParagraph"/>
      </w:pPr>
      <w:r>
        <w:t xml:space="preserve">A defining characteristic of contemporary academia is internationalization.</w:t>
      </w:r>
      <w:r>
        <w:t xml:space="preserve"> </w:t>
      </w:r>
      <w:r>
        <w:rPr>
          <w:bCs/>
          <w:b/>
        </w:rPr>
        <w:t xml:space="preserve">Germany Frankfurt</w:t>
      </w:r>
      <w:r>
        <w:t xml:space="preserve">, being a global city, attracts scholars from around the world. For an</w:t>
      </w:r>
      <w:r>
        <w:t xml:space="preserve"> </w:t>
      </w:r>
      <w:r>
        <w:rPr>
          <w:bCs/>
          <w:b/>
        </w:rPr>
        <w:t xml:space="preserve">Academic Researcher</w:t>
      </w:r>
      <w:r>
        <w:t xml:space="preserve">, this means operating in multilingual environments and navigating diverse cultural norms regarding hierarchy and communication. While English has become the lingua franca of science, local integration remains important for teaching German-language courses or engaging with local policy stakeholders.</w:t>
      </w:r>
    </w:p>
    <w:p>
      <w:pPr>
        <w:pStyle w:val="BodyText"/>
      </w:pPr>
      <w:r>
        <w:t xml:space="preserve">The influx of international talent enriches the academic environment but also intensifies competition.</w:t>
      </w:r>
      <w:r>
        <w:t xml:space="preserve"> </w:t>
      </w:r>
      <w:r>
        <w:rPr>
          <w:bCs/>
          <w:b/>
        </w:rPr>
        <w:t xml:space="preserve">Academic Researchers</w:t>
      </w:r>
      <w:r>
        <w:t xml:space="preserve"> </w:t>
      </w:r>
      <w:r>
        <w:t xml:space="preserve">must therefore develop strong intercultural competencies alongside their technical expertise. Institutions in Frankfurt have responded by offering extensive language support and integration programs, recognizing that the success of an</w:t>
      </w:r>
      <w:r>
        <w:t xml:space="preserve"> </w:t>
      </w:r>
      <w:r>
        <w:rPr>
          <w:bCs/>
          <w:b/>
        </w:rPr>
        <w:t xml:space="preserve">Academic Researcher</w:t>
      </w:r>
      <w:r>
        <w:t xml:space="preserve"> </w:t>
      </w:r>
      <w:r>
        <w:t xml:space="preserve">depends not just on their output, but on their ability to collaborate effectively within a diverse team.</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Academic Researcher</w:t>
      </w:r>
      <w:r>
        <w:t xml:space="preserve"> </w:t>
      </w:r>
      <w:r>
        <w:t xml:space="preserve">in Germany is at a crossroads. While structural reforms have increased flexibility and international visibility, they have also introduced new pressures regarding job security and performance metrics. In</w:t>
      </w:r>
      <w:r>
        <w:t xml:space="preserve"> </w:t>
      </w:r>
      <w:r>
        <w:rPr>
          <w:bCs/>
          <w:b/>
        </w:rPr>
        <w:t xml:space="preserve">Germany Frankfurt</w:t>
      </w:r>
      <w:r>
        <w:t xml:space="preserve">, these dynamics are particularly pronounced due to the city’s economic importance and international character.</w:t>
      </w:r>
    </w:p>
    <w:p>
      <w:pPr>
        <w:pStyle w:val="BodyText"/>
      </w:pPr>
      <w:r>
        <w:t xml:space="preserve">To thrive in this environment,</w:t>
      </w:r>
      <w:r>
        <w:t xml:space="preserve"> </w:t>
      </w:r>
      <w:r>
        <w:rPr>
          <w:bCs/>
          <w:b/>
        </w:rPr>
        <w:t xml:space="preserve">Academic Researchers</w:t>
      </w:r>
      <w:r>
        <w:t xml:space="preserve"> </w:t>
      </w:r>
      <w:r>
        <w:t xml:space="preserve">must adopt a hybrid identity: maintaining rigorous scholarly standards while engaging actively with society and industry. Policymakers must ensure that the push for efficiency does not undermine the long-term stability required for deep, transformative research. By supporting researchers through stable contracts, interdisciplinary infrastructure, and international networks,</w:t>
      </w:r>
      <w:r>
        <w:t xml:space="preserve"> </w:t>
      </w:r>
      <w:r>
        <w:rPr>
          <w:bCs/>
          <w:b/>
        </w:rPr>
        <w:t xml:space="preserve">Germany Frankfurt</w:t>
      </w:r>
      <w:r>
        <w:t xml:space="preserve"> </w:t>
      </w:r>
      <w:r>
        <w:t xml:space="preserve">can continue to serve as a beacon of academic excellence in Europe.</w:t>
      </w:r>
    </w:p>
    <w:p>
      <w:pPr>
        <w:pStyle w:val="BodyText"/>
      </w:pPr>
      <w:r>
        <w:t xml:space="preserve">Future research should focus on longitudinal studies tracking the career trajectories of</w:t>
      </w:r>
      <w:r>
        <w:t xml:space="preserve"> </w:t>
      </w:r>
      <w:r>
        <w:rPr>
          <w:bCs/>
          <w:b/>
        </w:rPr>
        <w:t xml:space="preserve">Academic Researchers</w:t>
      </w:r>
      <w:r>
        <w:t xml:space="preserve"> </w:t>
      </w:r>
      <w:r>
        <w:t xml:space="preserve">in metropolitan centers like Frankfurt, comparing outcomes between those who remain in academia and those who transition to industry. Such insights will be vital for shaping policies that balance academic integrity with societal relevance.</w:t>
      </w:r>
    </w:p>
    <w:bookmarkEnd w:id="27"/>
    <w:bookmarkStart w:id="28" w:name="references"/>
    <w:p>
      <w:pPr>
        <w:pStyle w:val="Heading2"/>
      </w:pPr>
      <w:r>
        <w:t xml:space="preserve">References</w:t>
      </w:r>
    </w:p>
    <w:p>
      <w:pPr>
        <w:pStyle w:val="FirstParagraph"/>
      </w:pPr>
      <w:r>
        <w:rPr>
          <w:iCs/>
          <w:i/>
        </w:rPr>
        <w:t xml:space="preserve">(Note: In a real journal article, specific citations would be listed here following APA or Chicago style. The following are representative placeholders.)</w:t>
      </w:r>
    </w:p>
    <w:p>
      <w:pPr>
        <w:numPr>
          <w:ilvl w:val="0"/>
          <w:numId w:val="1001"/>
        </w:numPr>
        <w:pStyle w:val="Compact"/>
      </w:pPr>
      <w:r>
        <w:t xml:space="preserve">Bolter-Quing, N., &amp; Hirschauer, S. (2016). *Gender and Academic Work*. Springer.</w:t>
      </w:r>
    </w:p>
    <w:p>
      <w:pPr>
        <w:numPr>
          <w:ilvl w:val="0"/>
          <w:numId w:val="1001"/>
        </w:numPr>
        <w:pStyle w:val="Compact"/>
      </w:pPr>
      <w:r>
        <w:t xml:space="preserve">Eichhorn, J., &amp; Rieckmann, M. (2019). The Bologna Process and its Impact on German Universities. *Journal of European Higher Education*, 12(3), 45-62.</w:t>
      </w:r>
    </w:p>
    <w:p>
      <w:pPr>
        <w:numPr>
          <w:ilvl w:val="0"/>
          <w:numId w:val="1001"/>
        </w:numPr>
        <w:pStyle w:val="Compact"/>
      </w:pPr>
      <w:r>
        <w:t xml:space="preserve">Goethe University Frankfurt. (2023). *Strategic Plan for Research and Teaching 2030*. Frankfurt am Main: GUF Publications.</w:t>
      </w:r>
    </w:p>
    <w:p>
      <w:pPr>
        <w:numPr>
          <w:ilvl w:val="0"/>
          <w:numId w:val="1001"/>
        </w:numPr>
        <w:pStyle w:val="Compact"/>
      </w:pPr>
      <w:r>
        <w:t xml:space="preserve">Schimank, U. (2018). The Role of the Academic Researcher in the Knowledge Economy. *Sociology Compass*, 12(5), e12567.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Germany: A Focus on Frankfurt am Main</dc:title>
  <dc:creator/>
  <cp:keywords/>
  <dcterms:created xsi:type="dcterms:W3CDTF">2026-07-29T13:43:33Z</dcterms:created>
  <dcterms:modified xsi:type="dcterms:W3CDTF">2026-07-29T13:43:33Z</dcterms:modified>
</cp:coreProperties>
</file>

<file path=docProps/custom.xml><?xml version="1.0" encoding="utf-8"?>
<Properties xmlns="http://schemas.openxmlformats.org/officeDocument/2006/custom-properties" xmlns:vt="http://schemas.openxmlformats.org/officeDocument/2006/docPropsVTypes"/>
</file>