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Institutional</w:t>
      </w:r>
      <w:r>
        <w:t xml:space="preserve"> </w:t>
      </w:r>
      <w:r>
        <w:t xml:space="preserve">Landscapes</w:t>
      </w:r>
      <w:r>
        <w:t xml:space="preserve"> </w:t>
      </w:r>
      <w:r>
        <w:t xml:space="preserve">and</w:t>
      </w:r>
      <w:r>
        <w:t xml:space="preserve"> </w:t>
      </w:r>
      <w:r>
        <w:t xml:space="preserve">Socio-Economic</w:t>
      </w:r>
      <w:r>
        <w:t xml:space="preserve"> </w:t>
      </w:r>
      <w:r>
        <w:t xml:space="preserve">Realities</w:t>
      </w:r>
    </w:p>
    <w:bookmarkStart w:id="31" w:name="X74af7bf5278a75d186a541114a7d80605cab505"/>
    <w:p>
      <w:pPr>
        <w:pStyle w:val="Heading1"/>
      </w:pPr>
      <w:r>
        <w:t xml:space="preserve">The Evolving Role of the Academic Researcher in India Mumbai: Navigating Institutional Landscapes and Socio-Economic Realities</w:t>
      </w:r>
    </w:p>
    <w:p>
      <w:pPr>
        <w:pStyle w:val="FirstParagraph"/>
      </w:pPr>
      <w:r>
        <w:rPr>
          <w:bCs/>
          <w:b/>
        </w:rPr>
        <w:t xml:space="preserve">Abstract:</w:t>
      </w:r>
      <w:r>
        <w:br/>
      </w:r>
      <w:r>
        <w:t xml:space="preserve">This article examines the multifaceted role of the</w:t>
      </w:r>
      <w:r>
        <w:t xml:space="preserve"> </w:t>
      </w:r>
      <w:r>
        <w:rPr>
          <w:bCs/>
          <w:b/>
        </w:rPr>
        <w:t xml:space="preserve">Akademic Researcher</w:t>
      </w:r>
      <w:r>
        <w:t xml:space="preserve"> </w:t>
      </w:r>
      <w:r>
        <w:t xml:space="preserve">within the unique context of</w:t>
      </w:r>
      <w:r>
        <w:t xml:space="preserve"> </w:t>
      </w:r>
      <w:r>
        <w:rPr>
          <w:bCs/>
          <w:b/>
        </w:rPr>
        <w:t xml:space="preserve">Mumbai, India.India Mumbai</w:t>
      </w:r>
      <w:r>
        <w:t xml:space="preserve">, the impact of urbanization on research infrastructure, and the emerging trends in interdisciplinary collaboration. The findings suggest that while resources are constrained by high operational costs, researchers are leveraging digital platforms and public-private partnerships to maintain global relevance.</w:t>
      </w:r>
    </w:p>
    <w:bookmarkStart w:id="20" w:name="introduction"/>
    <w:p>
      <w:pPr>
        <w:pStyle w:val="Heading2"/>
      </w:pPr>
      <w:r>
        <w:t xml:space="preserve">1. Introduction</w:t>
      </w:r>
    </w:p>
    <w:p>
      <w:pPr>
        <w:pStyle w:val="FirstParagraph"/>
      </w:pPr>
      <w:r>
        <w:t xml:space="preserve">The landscape of higher education in</w:t>
      </w:r>
      <w:r>
        <w:t xml:space="preserve"> </w:t>
      </w:r>
      <w:r>
        <w:rPr>
          <w:bCs/>
          <w:b/>
        </w:rPr>
        <w:t xml:space="preserve">IndiaMumbai,Akademic Researcher, Mumbai presents a paradox: it is a city of immense intellectual potential constrained by severe infrastructural bottlenecks and high living costs. This article aims to dissect these challenges and opportunities, offering insights into how scholars in</w:t>
      </w:r>
      <w:r>
        <w:rPr>
          <w:bCs/>
          <w:b/>
        </w:rPr>
        <w:t xml:space="preserve"> </w:t>
      </w:r>
      <w:r>
        <w:rPr>
          <w:bCs/>
          <w:b/>
          <w:bCs/>
          <w:b/>
        </w:rPr>
        <w:t xml:space="preserve">India Mumbai</w:t>
      </w:r>
    </w:p>
    <w:p>
      <w:pPr>
        <w:pStyle w:val="BodyText"/>
      </w:pPr>
      <w:r>
        <w:t xml:space="preserve">The term</w:t>
      </w:r>
      <w:r>
        <w:t xml:space="preserve"> </w:t>
      </w:r>
      <w:r>
        <w:rPr>
          <w:bCs/>
          <w:b/>
        </w:rPr>
        <w:t xml:space="preserve">Akademic ResearcherMumbai,</w:t>
      </w:r>
    </w:p>
    <w:bookmarkEnd w:id="20"/>
    <w:bookmarkStart w:id="21" w:name="X71424472e7f7e9b45b71ab710daee0b641654a0"/>
    <w:p>
      <w:pPr>
        <w:pStyle w:val="Heading2"/>
      </w:pPr>
      <w:r>
        <w:t xml:space="preserve">2. The Institutional Ecosystem in India Mumbai</w:t>
      </w:r>
    </w:p>
    <w:p>
      <w:pPr>
        <w:pStyle w:val="FirstParagraph"/>
      </w:pPr>
      <w:r>
        <w:t xml:space="preserve">Mumbai boasts some of India’s oldest and most prestigious institutions, including the University of Mumbai (one of the first modern universities in Asia), Tata Institute of Social Sciences (TISS), and various branches of IIT Bombay located just across the harbor in Navi Mumbai. However, for an</w:t>
      </w:r>
      <w:r>
        <w:t xml:space="preserve"> </w:t>
      </w:r>
      <w:r>
        <w:rPr>
          <w:bCs/>
          <w:b/>
        </w:rPr>
        <w:t xml:space="preserve">Akademic ResearcherIndia Mumbai,</w:t>
      </w:r>
    </w:p>
    <w:p>
      <w:pPr>
        <w:pStyle w:val="BodyText"/>
      </w:pPr>
      <w:r>
        <w:rPr>
          <w:bCs/>
          <w:b/>
        </w:rPr>
        <w:t xml:space="preserve">2.1 Infrastructure and Funding Disparities</w:t>
      </w:r>
      <w:r>
        <w:br/>
      </w:r>
      <w:r>
        <w:t xml:space="preserve">While premier institutes enjoy government grants and corporate sponsorships, many state-affiliated colleges struggle with outdated laboratories and limited library resources. This disparity creates a two-tier system where top-tier researchers in</w:t>
      </w:r>
      <w:r>
        <w:t xml:space="preserve"> </w:t>
      </w:r>
      <w:r>
        <w:rPr>
          <w:bCs/>
          <w:b/>
        </w:rPr>
        <w:t xml:space="preserve">Mumbai</w:t>
      </w:r>
    </w:p>
    <w:p>
      <w:pPr>
        <w:pStyle w:val="BodyText"/>
      </w:pPr>
      <w:r>
        <w:rPr>
          <w:bCs/>
          <w:b/>
        </w:rPr>
        <w:t xml:space="preserve">2.2 The Urban Constraint</w:t>
      </w:r>
      <w:r>
        <w:br/>
      </w:r>
      <w:r>
        <w:t xml:space="preserve">Real estate costs in</w:t>
      </w:r>
      <w:r>
        <w:t xml:space="preserve"> </w:t>
      </w:r>
      <w:r>
        <w:rPr>
          <w:bCs/>
          <w:b/>
        </w:rPr>
        <w:t xml:space="preserve">Mumbai</w:t>
      </w:r>
    </w:p>
    <w:bookmarkEnd w:id="21"/>
    <w:bookmarkStart w:id="22" w:name="key-research-domains-in-mumbai"/>
    <w:p>
      <w:pPr>
        <w:pStyle w:val="Heading2"/>
      </w:pPr>
      <w:r>
        <w:t xml:space="preserve">3. Key Research Domains in Mumbai</w:t>
      </w:r>
    </w:p>
    <w:p>
      <w:pPr>
        <w:pStyle w:val="FirstParagraph"/>
      </w:pPr>
      <w:r>
        <w:t xml:space="preserve">The profile of the</w:t>
      </w:r>
      <w:r>
        <w:t xml:space="preserve"> </w:t>
      </w:r>
      <w:r>
        <w:rPr>
          <w:bCs/>
          <w:b/>
        </w:rPr>
        <w:t xml:space="preserve">Akademic ResearcherMumbai</w:t>
      </w:r>
    </w:p>
    <w:p>
      <w:pPr>
        <w:numPr>
          <w:ilvl w:val="0"/>
          <w:numId w:val="1001"/>
        </w:numPr>
        <w:pStyle w:val="Compact"/>
      </w:pPr>
      <w:r>
        <w:rPr>
          <w:bCs/>
          <w:b/>
        </w:rPr>
        <w:t xml:space="preserve">Social Sciences and Urban Studies:</w:t>
      </w:r>
      <w:r>
        <w:t xml:space="preserve">  Given Mumbai’s density and complexity, it serves as a living laboratory for sociologists, urban planners, and economists. Researchers in</w:t>
      </w:r>
      <w:r>
        <w:t xml:space="preserve"> </w:t>
      </w:r>
      <w:r>
        <w:rPr>
          <w:bCs/>
          <w:b/>
        </w:rPr>
        <w:t xml:space="preserve">India Mumbai</w:t>
      </w:r>
    </w:p>
    <w:p>
      <w:pPr>
        <w:numPr>
          <w:ilvl w:val="0"/>
          <w:numId w:val="1001"/>
        </w:numPr>
        <w:pStyle w:val="Compact"/>
      </w:pPr>
      <w:r>
        <w:rPr>
          <w:bCs/>
          <w:b/>
        </w:rPr>
        <w:t xml:space="preserve">Biotechnology and Pharmaceuticals:</w:t>
      </w:r>
      <w:r>
        <w:t xml:space="preserve">  Mumbai is home to major pharmaceutical companies. Academic researchers often collaborate with these entities on drug discovery and clinical trials, bridging the gap between academic theory and industrial application.</w:t>
      </w:r>
    </w:p>
    <w:p>
      <w:pPr>
        <w:numPr>
          <w:ilvl w:val="0"/>
          <w:numId w:val="1001"/>
        </w:numPr>
        <w:pStyle w:val="Compact"/>
      </w:pPr>
      <w:r>
        <w:rPr>
          <w:bCs/>
          <w:b/>
        </w:rPr>
        <w:t xml:space="preserve">Digital Humanities:</w:t>
      </w:r>
      <w:r>
        <w:t xml:space="preserve">  With Mumbai as a hub for Bollywood and media, scholars are increasingly using digital tools to analyze cultural production, film studies, and communication patterns.</w:t>
      </w:r>
    </w:p>
    <w:bookmarkEnd w:id="22"/>
    <w:bookmarkStart w:id="26" w:name="challenges-faced-by-academic-researchers"/>
    <w:p>
      <w:pPr>
        <w:pStyle w:val="Heading2"/>
      </w:pPr>
      <w:r>
        <w:t xml:space="preserve">4. Challenges Faced by Academic Researchers</w:t>
      </w:r>
    </w:p>
    <w:p>
      <w:pPr>
        <w:pStyle w:val="FirstParagraph"/>
      </w:pPr>
      <w:r>
        <w:t xml:space="preserve">The life of an</w:t>
      </w:r>
      <w:r>
        <w:t xml:space="preserve"> </w:t>
      </w:r>
      <w:r>
        <w:rPr>
          <w:bCs/>
          <w:b/>
        </w:rPr>
        <w:t xml:space="preserve">Akademic ResearcherMumbai</w:t>
      </w:r>
    </w:p>
    <w:bookmarkStart w:id="23" w:name="the-publication-pressure"/>
    <w:p>
      <w:pPr>
        <w:pStyle w:val="Heading3"/>
      </w:pPr>
      <w:r>
        <w:rPr>
          <w:u w:val="single"/>
          <w:iCs/>
          <w:i/>
        </w:rPr>
        <w:t xml:space="preserve">4.1 The Publication Pressure</w:t>
      </w:r>
    </w:p>
    <w:p>
      <w:pPr>
        <w:pStyle w:val="FirstParagraph"/>
      </w:pPr>
      <w:r>
        <w:t xml:space="preserve">Global academic standards demand publication in high-impact, often Western-indexed journals. For researchers in</w:t>
      </w:r>
      <w:r>
        <w:t xml:space="preserve"> </w:t>
      </w:r>
      <w:r>
        <w:rPr>
          <w:bCs/>
          <w:b/>
        </w:rPr>
        <w:t xml:space="preserve">Mumbai,</w:t>
      </w:r>
    </w:p>
    <w:bookmarkEnd w:id="23"/>
    <w:bookmarkStart w:id="24" w:name="bureaucratic-hurdles"/>
    <w:p>
      <w:pPr>
        <w:pStyle w:val="Heading3"/>
      </w:pPr>
      <w:r>
        <w:rPr>
          <w:u w:val="single"/>
          <w:iCs/>
          <w:i/>
        </w:rPr>
        <w:t xml:space="preserve">4.2 Bureaucratic Hurdles</w:t>
      </w:r>
    </w:p>
    <w:p>
      <w:pPr>
        <w:pStyle w:val="FirstParagraph"/>
      </w:pPr>
      <w:r>
        <w:t xml:space="preserve">Institutional bureaucracy in</w:t>
      </w:r>
      <w:r>
        <w:t xml:space="preserve"> </w:t>
      </w:r>
      <w:r>
        <w:rPr>
          <w:bCs/>
          <w:b/>
        </w:rPr>
        <w:t xml:space="preserve">India Mumbai</w:t>
      </w:r>
    </w:p>
    <w:bookmarkEnd w:id="24"/>
    <w:bookmarkStart w:id="25" w:name="connectivity-and-data-access"/>
    <w:p>
      <w:pPr>
        <w:pStyle w:val="Heading3"/>
      </w:pPr>
      <w:r>
        <w:rPr>
          <w:u w:val="single"/>
          <w:iCs/>
          <w:i/>
        </w:rPr>
        <w:t xml:space="preserve">4.3 Connectivity and Data Access</w:t>
      </w:r>
    </w:p>
    <w:p>
      <w:pPr>
        <w:pStyle w:val="FirstParagraph"/>
      </w:pPr>
      <w:r>
        <w:t xml:space="preserve">While internet penetration is high, reliable connectivity for large-scale data transfers remains a challenge in some areas. Furthermore, access to proprietary datasets from local government bodies or corporations is often restricted, limiting the scope of empirical research.</w:t>
      </w:r>
    </w:p>
    <w:bookmarkEnd w:id="25"/>
    <w:bookmarkEnd w:id="26"/>
    <w:bookmarkStart w:id="27" w:name="strategies-for-success-and-adaptation"/>
    <w:p>
      <w:pPr>
        <w:pStyle w:val="Heading2"/>
      </w:pPr>
      <w:r>
        <w:t xml:space="preserve">5. Strategies for Success and Adaptation</w:t>
      </w:r>
    </w:p>
    <w:p>
      <w:pPr>
        <w:pStyle w:val="FirstParagraph"/>
      </w:pPr>
      <w:r>
        <w:t xml:space="preserve">To overcome these hurdles,</w:t>
      </w:r>
      <w:r>
        <w:t xml:space="preserve"> </w:t>
      </w:r>
      <w:r>
        <w:rPr>
          <w:bCs/>
          <w:b/>
        </w:rPr>
        <w:t xml:space="preserve">Akademic ResearchersMumbai</w:t>
      </w:r>
    </w:p>
    <w:p>
      <w:pPr>
        <w:numPr>
          <w:ilvl w:val="0"/>
          <w:numId w:val="1002"/>
        </w:numPr>
        <w:pStyle w:val="Compact"/>
      </w:pPr>
      <w:r>
        <w:rPr>
          <w:bCs/>
          <w:b/>
        </w:rPr>
        <w:t xml:space="preserve">Digital Collaboration:</w:t>
      </w:r>
      <w:r>
        <w:t xml:space="preserve">  Researchers are increasingly using cloud-based tools for data storage and analysis, allowing them to collaborate with peers globally without needing heavy physical infrastructure.</w:t>
      </w:r>
    </w:p>
    <w:p>
      <w:pPr>
        <w:numPr>
          <w:ilvl w:val="0"/>
          <w:numId w:val="1002"/>
        </w:numPr>
        <w:pStyle w:val="Compact"/>
      </w:pPr>
      <w:r>
        <w:rPr>
          <w:bCs/>
          <w:b/>
        </w:rPr>
        <w:t xml:space="preserve">Industry-Academia Partnerships:</w:t>
      </w:r>
      <w:r>
        <w:t xml:space="preserve">  By partnering with Mumbai’s thriving private sector, researchers can secure funding for equipment and fieldwork. These collaborations also provide real-world data sets that are otherwise inaccessible.</w:t>
      </w:r>
    </w:p>
    <w:p>
      <w:pPr>
        <w:numPr>
          <w:ilvl w:val="0"/>
          <w:numId w:val="1002"/>
        </w:numPr>
        <w:pStyle w:val="Compact"/>
      </w:pPr>
      <w:r>
        <w:rPr>
          <w:bCs/>
          <w:b/>
        </w:rPr>
        <w:t xml:space="preserve">Interdisciplinary Approaches:</w:t>
      </w:r>
      <w:r>
        <w:t xml:space="preserve">  Complex urban issues in</w:t>
      </w:r>
      <w:r>
        <w:t xml:space="preserve"> </w:t>
      </w:r>
      <w:r>
        <w:rPr>
          <w:bCs/>
          <w:b/>
        </w:rPr>
        <w:t xml:space="preserve">Mumbai</w:t>
      </w:r>
    </w:p>
    <w:p>
      <w:pPr>
        <w:numPr>
          <w:ilvl w:val="0"/>
          <w:numId w:val="1002"/>
        </w:numPr>
        <w:pStyle w:val="Compact"/>
      </w:pPr>
      <w:r>
        <w:rPr>
          <w:bCs/>
          <w:b/>
        </w:rPr>
        <w:t xml:space="preserve">Open Access Advocacy:</w:t>
      </w:r>
      <w:r>
        <w:t xml:space="preserve">  There is a growing movement among scholars in</w:t>
      </w:r>
    </w:p>
    <w:p>
      <w:pPr>
        <w:numPr>
          <w:ilvl w:val="0"/>
          <w:numId w:val="1000"/>
        </w:numPr>
        <w:pStyle w:val="Compact"/>
      </w:pPr>
      <w:r>
        <w:t xml:space="preserve">India Mumbai</w:t>
      </w:r>
    </w:p>
    <w:bookmarkEnd w:id="27"/>
    <w:bookmarkStart w:id="28" w:name="the-future-outlook"/>
    <w:p>
      <w:pPr>
        <w:pStyle w:val="Heading2"/>
      </w:pPr>
      <w:r>
        <w:t xml:space="preserve">6. The Future Outlook</w:t>
      </w:r>
    </w:p>
    <w:p>
      <w:pPr>
        <w:pStyle w:val="FirstParagraph"/>
      </w:pPr>
      <w:r>
        <w:t xml:space="preserve">The future of academic research in</w:t>
      </w:r>
      <w:r>
        <w:t xml:space="preserve"> </w:t>
      </w:r>
      <w:r>
        <w:rPr>
          <w:bCs/>
          <w:b/>
        </w:rPr>
        <w:t xml:space="preserve">Mumbai,</w:t>
      </w:r>
    </w:p>
    <w:p>
      <w:pPr>
        <w:pStyle w:val="BodyText"/>
      </w:pPr>
      <w:r>
        <w:t xml:space="preserve">For the</w:t>
      </w:r>
      <w:r>
        <w:t xml:space="preserve"> </w:t>
      </w:r>
      <w:r>
        <w:rPr>
          <w:bCs/>
          <w:b/>
        </w:rPr>
        <w:t xml:space="preserve">Akademic Researcher</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Akademic ResearcherMumbai,</w:t>
      </w:r>
    </w:p>
    <w:bookmarkEnd w:id="29"/>
    <w:bookmarkStart w:id="30" w:name="references"/>
    <w:p>
      <w:pPr>
        <w:pStyle w:val="Heading2"/>
      </w:pPr>
      <w:r>
        <w:t xml:space="preserve">References</w:t>
      </w:r>
    </w:p>
    <w:p>
      <w:pPr>
        <w:pStyle w:val="FirstParagraph"/>
      </w:pPr>
      <w:r>
        <w:t xml:space="preserve">1. Government of India. (2020).</w:t>
      </w:r>
      <w:r>
        <w:t xml:space="preserve"> </w:t>
      </w:r>
      <w:r>
        <w:rPr>
          <w:iCs/>
          <w:i/>
        </w:rPr>
        <w:t xml:space="preserve">National Education Policy 2020</w:t>
      </w:r>
      <w:r>
        <w:t xml:space="preserve">. Ministry of Education.</w:t>
      </w:r>
    </w:p>
    <w:p>
      <w:pPr>
        <w:pStyle w:val="BodyText"/>
      </w:pPr>
      <w:r>
        <w:t xml:space="preserve">2. Mehta, P., &amp; Singh, R. (2019). "Urban Challenges and Academic Response: A Study of Mumbai's Research Landscape."</w:t>
      </w:r>
      <w:r>
        <w:t xml:space="preserve"> </w:t>
      </w:r>
      <w:r>
        <w:rPr>
          <w:iCs/>
          <w:i/>
        </w:rPr>
        <w:t xml:space="preserve">Journal of Indian Urban Studies,</w:t>
      </w:r>
      <w:r>
        <w:t xml:space="preserve"> </w:t>
      </w:r>
      <w:r>
        <w:t xml:space="preserve">12(3), 45-60.</w:t>
      </w:r>
    </w:p>
    <w:p>
      <w:pPr>
        <w:pStyle w:val="BodyText"/>
      </w:pPr>
      <w:r>
        <w:t xml:space="preserve">3. Desai, V. (2021). "The Economics of Academia in Metropolitan India."</w:t>
      </w:r>
      <w:r>
        <w:t xml:space="preserve"> </w:t>
      </w:r>
      <w:r>
        <w:rPr>
          <w:iCs/>
          <w:i/>
        </w:rPr>
        <w:t xml:space="preserve">Sociological Bulletin,</w:t>
      </w:r>
      <w:r>
        <w:t xml:space="preserve"> </w:t>
      </w:r>
      <w:r>
        <w:t xml:space="preserve">70(1), 89-104.</w:t>
      </w:r>
    </w:p>
    <w:p>
      <w:pPr>
        <w:pStyle w:val="BodyText"/>
      </w:pPr>
      <w:r>
        <w:t xml:space="preserve">4. Sharma, L., &amp; Patel, K. (2022). "Digital Transformation in Indian Higher Education: Case Studies from Mumbai."</w:t>
      </w:r>
      <w:r>
        <w:t xml:space="preserve"> </w:t>
      </w:r>
      <w:r>
        <w:rPr>
          <w:iCs/>
          <w:i/>
        </w:rPr>
        <w:t xml:space="preserve">International Journal of Educational Development,</w:t>
      </w:r>
      <w:r>
        <w:t xml:space="preserve"> </w:t>
      </w:r>
      <w:r>
        <w:t xml:space="preserve">95, 102-115.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India Mumbai: Navigating Institutional Landscapes and Socio-Economic Realities</dc:title>
  <dc:creator/>
  <dc:language>en</dc:language>
  <cp:keywords/>
  <dcterms:created xsi:type="dcterms:W3CDTF">2026-07-29T09:37:15Z</dcterms:created>
  <dcterms:modified xsi:type="dcterms:W3CDTF">2026-07-29T09:37:15Z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