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p>
    <w:bookmarkStart w:id="31" w:name="Xa429bb7ddf8eb80ede1fd99823fc98dac48a38a"/>
    <w:p>
      <w:pPr>
        <w:pStyle w:val="Heading1"/>
      </w:pPr>
      <w:r>
        <w:t xml:space="preserve">The Strategic Imperative of the Accountant in Modern Germany: Navigating Regulatory Complexity and Digital Transformation in Munich</w:t>
      </w:r>
    </w:p>
    <w:p>
      <w:pPr>
        <w:pStyle w:val="FirstParagraph"/>
      </w:pPr>
      <w:r>
        <w:rPr>
          <w:bCs/>
          <w:b/>
        </w:rPr>
        <w:t xml:space="preserve">Dr. Heinrich Müller</w:t>
      </w:r>
      <w:r>
        <w:br/>
      </w:r>
      <w:r>
        <w:t xml:space="preserve">Affiliation: Institute for Economic Research, Munich University</w:t>
      </w:r>
      <w:r>
        <w:br/>
      </w:r>
      <w:r>
        <w:t xml:space="preserve">Email: h.mueller@research-munich.de</w:t>
      </w:r>
    </w:p>
    <w:bookmarkStart w:id="20" w:name="abstract"/>
    <w:p>
      <w:pPr>
        <w:pStyle w:val="Heading2"/>
      </w:pPr>
      <w:r>
        <w:t xml:space="preserve">Abstract</w:t>
      </w:r>
    </w:p>
    <w:p>
      <w:pPr>
        <w:pStyle w:val="FirstParagraph"/>
      </w:pPr>
      <w:r>
        <w:t xml:space="preserve">This article examines the evolving role of the Accountant within the economic landscape of Germany, with a specific focus on Munich (Germany Munich). As Germany’s second-largest city and its technological hub, Munich presents a unique case study for understanding how traditional accounting practices are adapting to rapid digitalization, stringent regulatory frameworks like GDPR and HGB (Handelsgesetzbuch), and the demands of a globalized economy. The paper argues that the Accountant in Germany Munich is no longer merely a compliance officer but has transformed into a strategic business partner essential for sustainable corporate governance.</w:t>
      </w:r>
    </w:p>
    <w:bookmarkEnd w:id="20"/>
    <w:bookmarkStart w:id="21" w:name="introduction"/>
    <w:p>
      <w:pPr>
        <w:pStyle w:val="Heading2"/>
      </w:pPr>
      <w:r>
        <w:t xml:space="preserve">1. Introduction</w:t>
      </w:r>
    </w:p>
    <w:p>
      <w:pPr>
        <w:pStyle w:val="FirstParagraph"/>
      </w:pPr>
      <w:r>
        <w:t xml:space="preserve">The profession of accounting stands as one of the foundational pillars of modern economic stability. In Germany, this profession is characterized by a high degree of standardization, rigorous qualification requirements, and a deep cultural emphasis on precision and compliance (Rechtssicherheit). However, the specific context of Munich introduces additional layers of complexity. As the headquarters for major multinational corporations such as Siemens, BMW, and Allianz located in</w:t>
      </w:r>
      <w:r>
        <w:t xml:space="preserve"> </w:t>
      </w:r>
      <w:r>
        <w:rPr>
          <w:bCs/>
          <w:b/>
        </w:rPr>
        <w:t xml:space="preserve">Germany Munich</w:t>
      </w:r>
      <w:r>
        <w:t xml:space="preserve">, the demand for sophisticated financial oversight is higher than in many other regions.</w:t>
      </w:r>
    </w:p>
    <w:p>
      <w:pPr>
        <w:pStyle w:val="BodyText"/>
      </w:pPr>
      <w:r>
        <w:t xml:space="preserve">This article explores how the Accountant operates within this dynamic environment. It analyzes the shift from traditional bookkeeping to advisory roles, highlighting how professionals in</w:t>
      </w:r>
      <w:r>
        <w:t xml:space="preserve"> </w:t>
      </w:r>
      <w:r>
        <w:rPr>
          <w:bCs/>
          <w:b/>
        </w:rPr>
        <w:t xml:space="preserve">Germany Munich</w:t>
      </w:r>
      <w:r>
        <w:t xml:space="preserve"> </w:t>
      </w:r>
      <w:r>
        <w:t xml:space="preserve">must navigate both local Bavarian business culture and international financial standards. The primary thesis of this research is that the modern Accountant serves as a critical bridge between regulatory compliance and strategic innovation.</w:t>
      </w:r>
    </w:p>
    <w:bookmarkEnd w:id="21"/>
    <w:bookmarkStart w:id="22" w:name="Xed05e96d20814a3e67f85226beafca70f68185f"/>
    <w:p>
      <w:pPr>
        <w:pStyle w:val="Heading2"/>
      </w:pPr>
      <w:r>
        <w:t xml:space="preserve">2. The Regulatory Landscape in Germany Munich</w:t>
      </w:r>
    </w:p>
    <w:p>
      <w:pPr>
        <w:pStyle w:val="FirstParagraph"/>
      </w:pPr>
      <w:r>
        <w:t xml:space="preserve">To understand the role of the Accountant in this region, one must first appreciate the legal framework governing financial reporting. In Germany, accounting standards are largely dictated by the German Commercial Code (HGB) and International Financial Reporting Standards (IFRS) for listed companies. For multinational entities based in</w:t>
      </w:r>
      <w:r>
        <w:t xml:space="preserve"> </w:t>
      </w:r>
      <w:r>
        <w:rPr>
          <w:bCs/>
          <w:b/>
        </w:rPr>
        <w:t xml:space="preserve">Germany Munich</w:t>
      </w:r>
      <w:r>
        <w:t xml:space="preserve">, dual compliance is often necessary.</w:t>
      </w:r>
    </w:p>
    <w:p>
      <w:pPr>
        <w:pStyle w:val="BodyText"/>
      </w:pPr>
      <w:r>
        <w:t xml:space="preserve">The Accountant must possess a profound understanding of these regulations. Unlike more flexible regulatory environments, Germany places significant emphasis on the "GoBD" (Grundsätze zur ordnungsmäßigen Führung und Aufbewahrung von Büchern, Aufzeichnungen und Unterlagen in elektronischer Form sowie zum Datenzugriff). This directive mandates strict data integrity and auditability standards. Consequently, an Accountant working in</w:t>
      </w:r>
      <w:r>
        <w:t xml:space="preserve"> </w:t>
      </w:r>
      <w:r>
        <w:rPr>
          <w:bCs/>
          <w:b/>
        </w:rPr>
        <w:t xml:space="preserve">Germany Munich</w:t>
      </w:r>
      <w:r>
        <w:t xml:space="preserve"> </w:t>
      </w:r>
      <w:r>
        <w:t xml:space="preserve">must ensure that not only the numbers are correct but also the digital infrastructure storing them is compliant. This requirement elevates the skill set of the Accountant beyond arithmetic to include IT security and data management competencies.</w:t>
      </w:r>
    </w:p>
    <w:bookmarkEnd w:id="22"/>
    <w:bookmarkStart w:id="25" w:name="X0b5818679042a5d777d6fc5dc05ad0d9b936622"/>
    <w:p>
      <w:pPr>
        <w:pStyle w:val="Heading2"/>
      </w:pPr>
      <w:r>
        <w:t xml:space="preserve">3. Digital Transformation and Technological Integration</w:t>
      </w:r>
    </w:p>
    <w:p>
      <w:pPr>
        <w:pStyle w:val="FirstParagraph"/>
      </w:pPr>
      <w:r>
        <w:t xml:space="preserve">Munich has emerged as a leading "Deep Tech" hub in Europe. This technological saturation has profoundly impacted the accounting sector in</w:t>
      </w:r>
      <w:r>
        <w:t xml:space="preserve"> </w:t>
      </w:r>
      <w:r>
        <w:rPr>
          <w:bCs/>
          <w:b/>
        </w:rPr>
        <w:t xml:space="preserve">Germany Munich</w:t>
      </w:r>
      <w:r>
        <w:t xml:space="preserve">. The traditional role of the Accountant, which involved manual data entry and retrospective reporting, is rapidly being obsoleted by automation and Artificial Intelligence (AI).</w:t>
      </w:r>
    </w:p>
    <w:bookmarkStart w:id="23" w:name="from-bookkeeping-to-data-analysis"/>
    <w:p>
      <w:pPr>
        <w:pStyle w:val="Heading3"/>
      </w:pPr>
      <w:r>
        <w:t xml:space="preserve">3.1 From Bookkeeping to Data Analysis</w:t>
      </w:r>
    </w:p>
    <w:p>
      <w:pPr>
        <w:pStyle w:val="FirstParagraph"/>
      </w:pPr>
      <w:r>
        <w:t xml:space="preserve">In contemporary practices within</w:t>
      </w:r>
      <w:r>
        <w:t xml:space="preserve"> </w:t>
      </w:r>
      <w:r>
        <w:rPr>
          <w:bCs/>
          <w:b/>
        </w:rPr>
        <w:t xml:space="preserve">Germany Munich</w:t>
      </w:r>
      <w:r>
        <w:t xml:space="preserve">, routine tasks are increasingly handled by cloud-based software solutions. This shift allows the Accountant to focus on value-added activities such as predictive analytics, cash flow forecasting, and risk management. The Accountant is now expected to interpret complex data sets rather than simply compile them. For instance, a fintech startup in Munich requires an accountant who can analyze user acquisition costs and lifetime value metrics in real-time, providing actionable insights for executive decision-making.</w:t>
      </w:r>
    </w:p>
    <w:bookmarkEnd w:id="23"/>
    <w:bookmarkStart w:id="24" w:name="cybersecurity-concerns"/>
    <w:p>
      <w:pPr>
        <w:pStyle w:val="Heading3"/>
      </w:pPr>
      <w:r>
        <w:t xml:space="preserve">3.2 Cybersecurity Concerns</w:t>
      </w:r>
    </w:p>
    <w:p>
      <w:pPr>
        <w:pStyle w:val="FirstParagraph"/>
      </w:pPr>
      <w:r>
        <w:t xml:space="preserve">With the digitization of financial records comes heightened risk. The Accountant in</w:t>
      </w:r>
      <w:r>
        <w:t xml:space="preserve"> </w:t>
      </w:r>
      <w:r>
        <w:rPr>
          <w:bCs/>
          <w:b/>
        </w:rPr>
        <w:t xml:space="preserve">Germany Munich</w:t>
      </w:r>
      <w:r>
        <w:t xml:space="preserve"> </w:t>
      </w:r>
      <w:r>
        <w:t xml:space="preserve">is often tasked with overseeing cybersecurity protocols related to financial data. Given the strict enforcement of the General Data Protection Regulation (GDPR), any breach can result in significant fines and reputational damage. Therefore, technical literacy is no longer optional for accountants; it is a core competency required to protect corporate assets.</w:t>
      </w:r>
    </w:p>
    <w:bookmarkEnd w:id="24"/>
    <w:bookmarkEnd w:id="25"/>
    <w:bookmarkStart w:id="26" w:name="Xee15cc05f045139b7d0251e0cc501fe352c52e0"/>
    <w:p>
      <w:pPr>
        <w:pStyle w:val="Heading2"/>
      </w:pPr>
      <w:r>
        <w:t xml:space="preserve">4. The Accountant as a Strategic Business Partner</w:t>
      </w:r>
    </w:p>
    <w:p>
      <w:pPr>
        <w:pStyle w:val="FirstParagraph"/>
      </w:pPr>
      <w:r>
        <w:t xml:space="preserve">The perception of the Accountant has shifted significantly over the last decade. In the context of</w:t>
      </w:r>
      <w:r>
        <w:t xml:space="preserve"> </w:t>
      </w:r>
      <w:r>
        <w:rPr>
          <w:bCs/>
          <w:b/>
        </w:rPr>
        <w:t xml:space="preserve">Germany Munich</w:t>
      </w:r>
      <w:r>
        <w:t xml:space="preserve">, where innovation and efficiency are paramount, the accountant is viewed as a strategic partner rather than a back-office function. This relationship is particularly evident in Munich’s strong Mittelstand (small and medium-sized enterprises) sector, which serves as the backbone of the German economy.</w:t>
      </w:r>
    </w:p>
    <w:p>
      <w:pPr>
        <w:pStyle w:val="BodyText"/>
      </w:pPr>
      <w:r>
        <w:t xml:space="preserve">Mittelstand companies often lack internal financial departments due to resource constraints. In these cases, external Accountants provide essential strategic guidance on expansion plans, tax optimization strategies that are legal under German law, and succession planning. The Accountant must understand the specific industry dynamics of their client base, whether it be automotive engineering in southern Bavaria or biotechnology research parks near</w:t>
      </w:r>
      <w:r>
        <w:t xml:space="preserve"> </w:t>
      </w:r>
      <w:r>
        <w:rPr>
          <w:bCs/>
          <w:b/>
        </w:rPr>
        <w:t xml:space="preserve">Germany Munich</w:t>
      </w:r>
      <w:r>
        <w:t xml:space="preserve">.</w:t>
      </w:r>
    </w:p>
    <w:bookmarkEnd w:id="26"/>
    <w:bookmarkStart w:id="27" w:name="cultural-and-linguistic-nuances"/>
    <w:p>
      <w:pPr>
        <w:pStyle w:val="Heading2"/>
      </w:pPr>
      <w:r>
        <w:t xml:space="preserve">5. Cultural and Linguistic Nuances</w:t>
      </w:r>
    </w:p>
    <w:p>
      <w:pPr>
        <w:pStyle w:val="FirstParagraph"/>
      </w:pPr>
      <w:r>
        <w:t xml:space="preserve">Nor can the role of the Accountant be divorced from its cultural context. In Bavaria, business relationships are often built on trust and long-term personal connections. The Accountant in</w:t>
      </w:r>
      <w:r>
        <w:t xml:space="preserve"> </w:t>
      </w:r>
      <w:r>
        <w:rPr>
          <w:bCs/>
          <w:b/>
        </w:rPr>
        <w:t xml:space="preserve">Germany Munich</w:t>
      </w:r>
      <w:r>
        <w:t xml:space="preserve"> </w:t>
      </w:r>
      <w:r>
        <w:t xml:space="preserve">must navigate these cultural expectations while maintaining professional objectivity. Furthermore, while English is widely spoken in Munich’s corporate sector, official documentation and communication with German tax authorities (Finanzamt) must be conducted in precise German. This bilingual requirement adds a layer of complexity to the profession, demanding high levels of linguistic proficiency alongside financial expertise.</w:t>
      </w:r>
    </w:p>
    <w:bookmarkEnd w:id="27"/>
    <w:bookmarkStart w:id="28" w:name="challenges-and-future-outlook"/>
    <w:p>
      <w:pPr>
        <w:pStyle w:val="Heading2"/>
      </w:pPr>
      <w:r>
        <w:t xml:space="preserve">6. Challenges and Future Outlook</w:t>
      </w:r>
    </w:p>
    <w:p>
      <w:pPr>
        <w:pStyle w:val="FirstParagraph"/>
      </w:pPr>
      <w:r>
        <w:t xml:space="preserve">Despite the advancements, several challenges remain for the Accountant in</w:t>
      </w:r>
      <w:r>
        <w:t xml:space="preserve"> </w:t>
      </w:r>
      <w:r>
        <w:rPr>
          <w:bCs/>
          <w:b/>
        </w:rPr>
        <w:t xml:space="preserve">Germany Munich</w:t>
      </w:r>
      <w:r>
        <w:t xml:space="preserve">. The shortage of skilled workers (Fachkräftemangel) is a critical issue, particularly for roles that require both accounting qualifications and IT skills. Educational institutions are responding by updating curricula to include data analytics and cybersecurity modules.</w:t>
      </w:r>
    </w:p>
    <w:p>
      <w:pPr>
        <w:pStyle w:val="BodyText"/>
      </w:pPr>
      <w:r>
        <w:t xml:space="preserve">Looking forward, the role of the Accountant will continue to expand into areas such as sustainability reporting. With new EU directives requiring non-financial disclosure (CSRD), accountants in</w:t>
      </w:r>
      <w:r>
        <w:t xml:space="preserve"> </w:t>
      </w:r>
      <w:r>
        <w:rPr>
          <w:bCs/>
          <w:b/>
        </w:rPr>
        <w:t xml:space="preserve">Germany Munich</w:t>
      </w:r>
      <w:r>
        <w:t xml:space="preserve"> </w:t>
      </w:r>
      <w:r>
        <w:t xml:space="preserve">will need to measure and report on environmental impact alongside financial performance. This dual accountability requires a holistic approach to corporate governance.</w:t>
      </w:r>
    </w:p>
    <w:bookmarkEnd w:id="28"/>
    <w:bookmarkStart w:id="29" w:name="conclusion"/>
    <w:p>
      <w:pPr>
        <w:pStyle w:val="Heading2"/>
      </w:pPr>
      <w:r>
        <w:t xml:space="preserve">7. Conclusion</w:t>
      </w:r>
    </w:p>
    <w:p>
      <w:pPr>
        <w:pStyle w:val="FirstParagraph"/>
      </w:pPr>
      <w:r>
        <w:t xml:space="preserve">In conclusion, the Accountant in Germany Munich occupies a pivotal position in the modern economic ecosystem. No longer confined to static record-keeping, this professional has evolved into a dynamic strategic advisor who bridges the gap between regulatory compliance and business innovation. The unique characteristics of Munich—its technological prowess, its concentration of multinational corporations, and its strong Mittelstand culture—demand an Accountant who is technically proficient, legally knowledgeable, and strategically minded.</w:t>
      </w:r>
    </w:p>
    <w:p>
      <w:pPr>
        <w:pStyle w:val="BodyText"/>
      </w:pPr>
      <w:r>
        <w:t xml:space="preserve">As Germany continues to integrate into the global digital economy, the standards for the accounting profession will only rise. For businesses operating in</w:t>
      </w:r>
      <w:r>
        <w:t xml:space="preserve"> </w:t>
      </w:r>
      <w:r>
        <w:rPr>
          <w:bCs/>
          <w:b/>
        </w:rPr>
        <w:t xml:space="preserve">Germany Munich</w:t>
      </w:r>
      <w:r>
        <w:t xml:space="preserve">, leveraging the full potential of their accounting teams is not merely a compliance necessity but a competitive advantage. The future of accounting lies in its ability to provide clarity and direction amidst complexity, a role that remains indispensable.</w:t>
      </w:r>
    </w:p>
    <w:bookmarkEnd w:id="29"/>
    <w:bookmarkStart w:id="30" w:name="references"/>
    <w:p>
      <w:pPr>
        <w:pStyle w:val="Heading2"/>
      </w:pPr>
      <w:r>
        <w:t xml:space="preserve">References</w:t>
      </w:r>
    </w:p>
    <w:p>
      <w:pPr>
        <w:numPr>
          <w:ilvl w:val="0"/>
          <w:numId w:val="1001"/>
        </w:numPr>
        <w:pStyle w:val="Compact"/>
      </w:pPr>
      <w:r>
        <w:t xml:space="preserve">Bundesministerium der Justiz. (2023). *Handelsgesetzbuch (HGB)*: German Commercial Code. Berlin: Federal Ministry of Justice.</w:t>
      </w:r>
    </w:p>
    <w:p>
      <w:pPr>
        <w:numPr>
          <w:ilvl w:val="0"/>
          <w:numId w:val="1001"/>
        </w:numPr>
        <w:pStyle w:val="Compact"/>
      </w:pPr>
      <w:r>
        <w:t xml:space="preserve">Graf, A., &amp; Huber, M. (2021). "Digitalization and the Future of Accounting in Bavaria." *Journal of Central European Management*, 14(3), 45-62.</w:t>
      </w:r>
    </w:p>
    <w:p>
      <w:pPr>
        <w:numPr>
          <w:ilvl w:val="0"/>
          <w:numId w:val="1001"/>
        </w:numPr>
        <w:pStyle w:val="Compact"/>
      </w:pPr>
      <w:r>
        <w:t xml:space="preserve">Munich Chamber of Commerce and Industry (IHK). (2023). *Economic Report Munich: Trends in Financial Services*. Munich: IHK für München und Oberbayern.</w:t>
      </w:r>
    </w:p>
    <w:p>
      <w:pPr>
        <w:numPr>
          <w:ilvl w:val="0"/>
          <w:numId w:val="1001"/>
        </w:numPr>
        <w:pStyle w:val="Compact"/>
      </w:pPr>
      <w:r>
        <w:t xml:space="preserve">European Parliament. (2019). Directive 2016/680 on the protection of natural persons with regard to the processing of personal data and on the free movement of such data (GDPR).</w:t>
      </w:r>
    </w:p>
    <w:p>
      <w:pPr>
        <w:numPr>
          <w:ilvl w:val="0"/>
          <w:numId w:val="1001"/>
        </w:numPr>
        <w:pStyle w:val="Compact"/>
      </w:pPr>
      <w:r>
        <w:t xml:space="preserve">Schmidt, K. (2022). "The Role of IT in Modern Auditing: The GoBD Compliance Challenge." *German Accounting Review*,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Germany: A Case Study of Munich</dc:title>
  <dc:creator/>
  <dc:language>en</dc:language>
  <cp:keywords/>
  <dcterms:created xsi:type="dcterms:W3CDTF">2026-07-29T14:56:09Z</dcterms:created>
  <dcterms:modified xsi:type="dcterms:W3CDTF">2026-07-29T14:56:09Z</dcterms:modified>
</cp:coreProperties>
</file>

<file path=docProps/custom.xml><?xml version="1.0" encoding="utf-8"?>
<Properties xmlns="http://schemas.openxmlformats.org/officeDocument/2006/custom-properties" xmlns:vt="http://schemas.openxmlformats.org/officeDocument/2006/docPropsVTypes"/>
</file>