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Tehran: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Volatility</w:t>
      </w:r>
    </w:p>
    <w:bookmarkStart w:id="29" w:name="Xaa7af0eef11963fa67985d6d9505e32f1c487ef"/>
    <w:p>
      <w:pPr>
        <w:pStyle w:val="Heading1"/>
      </w:pPr>
      <w:r>
        <w:t xml:space="preserve">The Evolving Role of the Accountant in Tehran: Navigating Regulatory Complexity and Economic Volatility</w:t>
      </w:r>
    </w:p>
    <w:p>
      <w:pPr>
        <w:pStyle w:val="FirstParagraph"/>
      </w:pPr>
      <w:r>
        <w:rPr>
          <w:iCs/>
          <w:i/>
          <w:bCs/>
          <w:b/>
        </w:rPr>
        <w:t xml:space="preserve">A Journal of Accounting Research and Financial Analysis</w:t>
      </w:r>
      <w:r>
        <w:br/>
      </w:r>
      <w:r>
        <w:t xml:space="preserve">Volume 42, Issue 3 | Autumn 2023 | Pages 112-135</w:t>
      </w:r>
      <w:r>
        <w:br/>
      </w:r>
      <w:r>
        <w:br/>
      </w:r>
      <w:r>
        <w:t xml:space="preserve">Dr. Reza Alizadeh</w:t>
      </w:r>
      <w:r>
        <w:br/>
      </w:r>
      <w:r>
        <w:t xml:space="preserve">Department of Finance and Accounting, University of Tehran</w:t>
      </w:r>
      <w:r>
        <w:br/>
      </w:r>
    </w:p>
    <w:p>
      <w:pPr>
        <w:pStyle w:val="BodyText"/>
      </w:pPr>
      <w:r>
        <w:rPr>
          <w:iCs/>
          <w:i/>
          <w:bCs/>
          <w:b/>
        </w:rPr>
        <w:t xml:space="preserve">   Abstract</w:t>
      </w:r>
      <w:r>
        <w:br/>
      </w:r>
      <w:r>
        <w:t xml:space="preserve">   This study examines the multifaceted role of the professional Accountant within the unique economic and regulatory landscape of Iran, specifically focusing on Tehran. As the capital’s financial hub undergoes significant transformation due to international sanctions, inflationary pressures, and evolving domestic tax laws, the function of accounting has shifted from mere record-keeping to strategic risk management. This paper analyzes how accountants in Tehran are adapting to Iranian tax compliance requirements while integrating International Financial Reporting Standards (IFRS) into local practices. The findings suggest that the modern Accountant in Iran is not only a guardian of financial integrity but also a critical advisor for organizational survival amidst macroeconomic instability.</w:t>
      </w:r>
    </w:p>
    <w:bookmarkStart w:id="20" w:name="introduction"/>
    <w:p>
      <w:pPr>
        <w:pStyle w:val="Heading2"/>
      </w:pPr>
      <w:r>
        <w:t xml:space="preserve">1. Introduction</w:t>
      </w:r>
    </w:p>
    <w:p>
      <w:pPr>
        <w:pStyle w:val="FirstParagraph"/>
      </w:pPr>
      <w:r>
        <w:t xml:space="preserve">The profession of accounting serves as the backbone of any modern economy, providing transparency and accountability necessary for market stability. However, in specific geographic and political contexts, this role becomes significantly more complex. In Iran, particularly within its capital city of Tehran, the economic environment is characterized by a dual-layered reality: a robust informal sector coexisting with increasingly stringent formal regulatory frameworks. For the Accountant practicing in this region, the challenges extend beyond technical proficiency to include navigating geopolitical impacts on financial reporting.</w:t>
      </w:r>
    </w:p>
    <w:p>
      <w:pPr>
        <w:pStyle w:val="BodyText"/>
      </w:pPr>
      <w:r>
        <w:t xml:space="preserve">Tehran acts as the central nervous system of Iran’s economy, hosting the majority of large corporations, banks, and state-owned enterprises. Consequently, accountants operating in Tehran bear a disproportionate responsibility for ensuring that these entities remain compliant with both national directives from the Iranian National Tax Administration (INTA) and international expectations. This article explores how Accountants in this specific locale are redefining their professional boundaries to address inflation accounting, foreign exchange discrepancies, and the integration of digital taxation systems.</w:t>
      </w:r>
    </w:p>
    <w:bookmarkEnd w:id="20"/>
    <w:bookmarkStart w:id="23" w:name="Xf55b13cefdefcb5e99a1752ca59f6d2853d1e8b"/>
    <w:p>
      <w:pPr>
        <w:pStyle w:val="Heading2"/>
      </w:pPr>
      <w:r>
        <w:t xml:space="preserve">2. The Regulatory Landscape in Iran: A Unique Challenge</w:t>
      </w:r>
    </w:p>
    <w:p>
      <w:pPr>
        <w:pStyle w:val="FirstParagraph"/>
      </w:pPr>
      <w:r>
        <w:t xml:space="preserve">To understand the workload and strategic importance of an Accountant in Tehran, one must first appreciate the regulatory environment. Iran’s commercial code and tax laws have undergone numerous revisions in recent years to combat tax evasion and broaden the tax base. For accountants based in Tehran, this means a constant need for upskilling. Unlike their counterparts in stable economies who may follow relatively static annual updates, Accountants in Iran must often implement mid-year regulatory changes.</w:t>
      </w:r>
    </w:p>
    <w:bookmarkStart w:id="21" w:name="compliance-and-iranian-tax-law"/>
    <w:p>
      <w:pPr>
        <w:pStyle w:val="Heading3"/>
      </w:pPr>
      <w:r>
        <w:t xml:space="preserve">2.1 Compliance and Iranian Tax Law</w:t>
      </w:r>
    </w:p>
    <w:p>
      <w:pPr>
        <w:pStyle w:val="FirstParagraph"/>
      </w:pPr>
      <w:r>
        <w:t xml:space="preserve">The primary duty of the Accountant remains statutory compliance. In Tehran, the implementation of electronic invoicing systems (such as Tims) has revolutionized how transactions are recorded. Accountants are now required to ensure real-time data synchronization with government servers. This technological shift has reduced the traditional buffer time for error correction, demanding a higher level of precision and immediate problem-solving skills from professionals in this sector.</w:t>
      </w:r>
    </w:p>
    <w:bookmarkEnd w:id="21"/>
    <w:bookmarkStart w:id="22" w:name="X18faed4ba26ebebb80b874fdd262d8c54d24d8d"/>
    <w:p>
      <w:pPr>
        <w:pStyle w:val="Heading3"/>
      </w:pPr>
      <w:r>
        <w:t xml:space="preserve">2.2 The Tension Between Local Standards and IFRS</w:t>
      </w:r>
    </w:p>
    <w:p>
      <w:pPr>
        <w:pStyle w:val="FirstParagraph"/>
      </w:pPr>
      <w:r>
        <w:t xml:space="preserve">Iran has been in the process of converging its national accounting standards with International Financial Reporting Standards (IFRS). However, the practical application remains uneven. While multinational corporations operating within Tehran have largely adopted IFRS to facilitate international trade and investment, local SMEs often rely on simplified cash-basis accounting mandated by local regulations. Accountants here must often maintain dual sets of books or navigate complex adjustments to reconcile these differences, a task that requires deep technical expertise and ethical fortitude.</w:t>
      </w:r>
    </w:p>
    <w:bookmarkEnd w:id="22"/>
    <w:bookmarkEnd w:id="23"/>
    <w:bookmarkStart w:id="24" w:name="X387aef281927b81e6944b6ca7fca875407e918b"/>
    <w:p>
      <w:pPr>
        <w:pStyle w:val="Heading2"/>
      </w:pPr>
      <w:r>
        <w:t xml:space="preserve">3. Macroeconomic Volatility and Inflation Accounting</w:t>
      </w:r>
    </w:p>
    <w:p>
      <w:pPr>
        <w:pStyle w:val="FirstParagraph"/>
      </w:pPr>
      <w:r>
        <w:t xml:space="preserve">No discussion regarding accounting in Iran is complete without addressing the persistent issue of high inflation. Tehran’s economy has experienced fluctuating inflation rates, often exceeding double-digit percentages annually. Standard historical cost accounting fails to provide a true picture of financial health in such an environment.</w:t>
      </w:r>
    </w:p>
    <w:p>
      <w:pPr>
        <w:pStyle w:val="BodyText"/>
      </w:pPr>
      <w:r>
        <w:t xml:space="preserve">In response, Accountants in Tehran have increasingly turned to current cost accounting methods and hyperinflation adjustments as prescribed by Iranian Accounting Standards. This involves restating balance sheets and income statements to reflect the current purchasing power of the Rial. The role of the Accountant here is analytical rather than just clerical; they must interpret economic indicators to adjust financial records accurately, thereby providing stakeholders with meaningful data for decision-making.</w:t>
      </w:r>
    </w:p>
    <w:bookmarkEnd w:id="24"/>
    <w:bookmarkStart w:id="25" w:name="X7ace885ffef4e865017a60ba5b8c4528e076f36"/>
    <w:p>
      <w:pPr>
        <w:pStyle w:val="Heading2"/>
      </w:pPr>
      <w:r>
        <w:t xml:space="preserve">4. Strategic Advisory Roles in Times of Crisis</w:t>
      </w:r>
    </w:p>
    <w:p>
      <w:pPr>
        <w:pStyle w:val="FirstParagraph"/>
      </w:pPr>
      <w:r>
        <w:t xml:space="preserve">The volatility surrounding Tehran’s financial markets has elevated the Accountant from a back-office function to a frontline strategic partner. With currency devaluation risks and supply chain disruptions common, business leaders rely on their Accountants for cash flow forecasting and liquidity management.</w:t>
      </w:r>
    </w:p>
    <w:p>
      <w:pPr>
        <w:numPr>
          <w:ilvl w:val="0"/>
          <w:numId w:val="1001"/>
        </w:numPr>
        <w:pStyle w:val="Compact"/>
      </w:pPr>
      <w:r>
        <w:rPr>
          <w:bCs/>
          <w:b/>
        </w:rPr>
        <w:t xml:space="preserve">Risk Management:</w:t>
      </w:r>
      <w:r>
        <w:t xml:space="preserve"> </w:t>
      </w:r>
      <w:r>
        <w:t xml:space="preserve">Accountants in Tehran are tasked with identifying exposure to foreign exchange fluctuations. They develop hedging strategies within the constraints of local banking regulations.</w:t>
      </w:r>
    </w:p>
    <w:p>
      <w:pPr>
        <w:numPr>
          <w:ilvl w:val="0"/>
          <w:numId w:val="1001"/>
        </w:numPr>
        <w:pStyle w:val="Compact"/>
      </w:pPr>
      <w:r>
        <w:rPr>
          <w:bCs/>
          <w:b/>
        </w:rPr>
        <w:t xml:space="preserve">Tax Planning:</w:t>
      </w:r>
      <w:r>
        <w:t xml:space="preserve"> </w:t>
      </w:r>
      <w:r>
        <w:t xml:space="preserve">Rather than mere compliance, there is a growing demand for strategic tax planning. Accountants help businesses legally minimize liabilities by utilizing various exemptions and incentives provided by the Iranian government to specific industries such as technology and manufacturing.</w:t>
      </w:r>
    </w:p>
    <w:p>
      <w:pPr>
        <w:numPr>
          <w:ilvl w:val="0"/>
          <w:numId w:val="1001"/>
        </w:numPr>
        <w:pStyle w:val="Compact"/>
      </w:pPr>
      <w:r>
        <w:rPr>
          <w:bCs/>
          <w:b/>
        </w:rPr>
        <w:t xml:space="preserve">Digital Transformation:</w:t>
      </w:r>
      <w:r>
        <w:t xml:space="preserve"> </w:t>
      </w:r>
      <w:r>
        <w:t xml:space="preserve">Many firms in Tehran are adopting cloud-based accounting software. Accountants are leading this transition, ensuring data security and operational efficiency amidst intermittent internet restrictions or infrastructure challenges.</w:t>
      </w:r>
    </w:p>
    <w:bookmarkEnd w:id="25"/>
    <w:bookmarkStart w:id="26" w:name="X54821121eedc309453184b8ce86c4e0efc7d239"/>
    <w:p>
      <w:pPr>
        <w:pStyle w:val="Heading2"/>
      </w:pPr>
      <w:r>
        <w:t xml:space="preserve">5. Ethical Considerations and Professional Integrity</w:t>
      </w:r>
    </w:p>
    <w:p>
      <w:pPr>
        <w:pStyle w:val="FirstParagraph"/>
      </w:pPr>
      <w:r>
        <w:t xml:space="preserve">The pressure to maintain business continuity in a sanctioned economy can sometimes lead to ethical dilemmas. Accountants in Tehran often face pressure from management to obscure financial realities or engage in informal transactions to bypass restrictions. The International Ethics Standards Board for Accountants (IESBA) code of conduct emphasizes integrity and objectivity, which are tested severely in this context. Professional bodies within Iran, such as the Iranian Association of Certified Public Accountants (IACPA), are increasingly emphasizing ethical training to protect the profession’s credibility.</w:t>
      </w:r>
    </w:p>
    <w:bookmarkEnd w:id="26"/>
    <w:bookmarkStart w:id="27" w:name="conclusion"/>
    <w:p>
      <w:pPr>
        <w:pStyle w:val="Heading2"/>
      </w:pPr>
      <w:r>
        <w:t xml:space="preserve">6. Conclusion</w:t>
      </w:r>
    </w:p>
    <w:p>
      <w:pPr>
        <w:pStyle w:val="FirstParagraph"/>
      </w:pPr>
      <w:r>
        <w:t xml:space="preserve">The Accountant in Tehran operates at a critical intersection of tradition and modernity, local necessity and global standards. They are no longer merely bookkeepers but are essential navigators through a stormy economic sea defined by sanctions, inflation, and regulatory flux. As Iran continues to integrate into the global economy or further isolate itself depending on geopolitical shifts, the demand for skilled Accountants who understand both the technicalities of Iranian tax law and the nuances of international finance will only grow.</w:t>
      </w:r>
    </w:p>
    <w:p>
      <w:pPr>
        <w:pStyle w:val="BodyText"/>
      </w:pPr>
      <w:r>
        <w:t xml:space="preserve">Future research should focus on longitudinal studies regarding how digitalization impacts audit quality in Tehran’s state-owned enterprises. Furthermore, exploring the psychological burden on Accountants dealing with high-pressure compliance environments could yield valuable insights for professional development programs. Ultimately, strengthening the capacity of Accountants in Iran is not just a corporate imperative but a national one, essential for fostering transparency and economic resilience.</w:t>
      </w:r>
    </w:p>
    <w:bookmarkEnd w:id="27"/>
    <w:bookmarkStart w:id="28" w:name="references"/>
    <w:p>
      <w:pPr>
        <w:pStyle w:val="Heading2"/>
      </w:pPr>
      <w:r>
        <w:t xml:space="preserve">References</w:t>
      </w:r>
    </w:p>
    <w:p>
      <w:pPr>
        <w:pStyle w:val="FirstParagraph"/>
      </w:pPr>
      <w:r>
        <w:rPr>
          <w:iCs/>
          <w:i/>
        </w:rPr>
        <w:t xml:space="preserve">Note: References are illustrative of the academic style required.</w:t>
      </w:r>
    </w:p>
    <w:p>
      <w:pPr>
        <w:numPr>
          <w:ilvl w:val="0"/>
          <w:numId w:val="1002"/>
        </w:numPr>
        <w:pStyle w:val="Compact"/>
      </w:pPr>
      <w:r>
        <w:t xml:space="preserve">[1] Iranian National Tax Administration. (2023).</w:t>
      </w:r>
      <w:r>
        <w:t xml:space="preserve"> </w:t>
      </w:r>
      <w:r>
        <w:rPr>
          <w:bCs/>
          <w:b/>
        </w:rPr>
        <w:t xml:space="preserve">New Guidelines for Electronic Invoicing and Value Added Tax Compliance</w:t>
      </w:r>
      <w:r>
        <w:t xml:space="preserve">. Tehran: INTA Press.</w:t>
      </w:r>
    </w:p>
    <w:p>
      <w:pPr>
        <w:numPr>
          <w:ilvl w:val="0"/>
          <w:numId w:val="1002"/>
        </w:numPr>
        <w:pStyle w:val="Compact"/>
      </w:pPr>
      <w:r>
        <w:t xml:space="preserve">[2] Alavi, M., &amp; Hosseini, S. (2021). "Inflation Accounting Practices in Iranian Listed Companies."</w:t>
      </w:r>
      <w:r>
        <w:t xml:space="preserve"> </w:t>
      </w:r>
      <w:r>
        <w:rPr>
          <w:iCs/>
          <w:i/>
        </w:rPr>
        <w:t xml:space="preserve">Journal of Middle East Business</w:t>
      </w:r>
      <w:r>
        <w:t xml:space="preserve">, 14(2), 45-67.</w:t>
      </w:r>
    </w:p>
    <w:p>
      <w:pPr>
        <w:numPr>
          <w:ilvl w:val="0"/>
          <w:numId w:val="1002"/>
        </w:numPr>
        <w:pStyle w:val="Compact"/>
      </w:pPr>
      <w:r>
        <w:t xml:space="preserve">[3] International Federation of Accountants. (2022).</w:t>
      </w:r>
      <w:r>
        <w:t xml:space="preserve"> </w:t>
      </w:r>
      <w:r>
        <w:rPr>
          <w:bCs/>
          <w:b/>
        </w:rPr>
        <w:t xml:space="preserve">The Impact of Economic Sanctions on Financial Reporting Integrity</w:t>
      </w:r>
      <w:r>
        <w:t xml:space="preserve">. New York: IFAC Publications.</w:t>
      </w:r>
    </w:p>
    <w:p>
      <w:pPr>
        <w:numPr>
          <w:ilvl w:val="0"/>
          <w:numId w:val="1002"/>
        </w:numPr>
        <w:pStyle w:val="Compact"/>
      </w:pPr>
      <w:r>
        <w:t xml:space="preserve">[4] Rezaei, K. (2019). "Challenges of Implementing IFRS in Emerging Markets: The Case of Tehran."</w:t>
      </w:r>
      <w:r>
        <w:t xml:space="preserve"> </w:t>
      </w:r>
      <w:r>
        <w:rPr>
          <w:iCs/>
          <w:i/>
        </w:rPr>
        <w:t xml:space="preserve">Asian Journal of Accounting Research</w:t>
      </w:r>
      <w:r>
        <w:t xml:space="preserve">, 5(1), 112-130.</w:t>
      </w:r>
    </w:p>
    <w:p>
      <w:pPr>
        <w:numPr>
          <w:ilvl w:val="0"/>
          <w:numId w:val="1002"/>
        </w:numPr>
        <w:pStyle w:val="Compact"/>
      </w:pPr>
      <w:r>
        <w:t xml:space="preserve">[5] Central Bank of Iran. (2023).</w:t>
      </w:r>
      <w:r>
        <w:t xml:space="preserve"> </w:t>
      </w:r>
      <w:r>
        <w:rPr>
          <w:bCs/>
          <w:b/>
        </w:rPr>
        <w:t xml:space="preserve">Annual Economic Report: Currency Fluctuations and Corporate Liquidity</w:t>
      </w:r>
      <w:r>
        <w:t xml:space="preserve">. Tehran: CBI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Tehran: Navigating Regulatory Complexity and Economic Volatility</dc:title>
  <dc:creator/>
  <dc:language>en</dc:language>
  <cp:keywords/>
  <dcterms:created xsi:type="dcterms:W3CDTF">2026-07-29T08:33:42Z</dcterms:created>
  <dcterms:modified xsi:type="dcterms:W3CDTF">2026-07-29T08:33:42Z</dcterms:modified>
</cp:coreProperties>
</file>

<file path=docProps/custom.xml><?xml version="1.0" encoding="utf-8"?>
<Properties xmlns="http://schemas.openxmlformats.org/officeDocument/2006/custom-properties" xmlns:vt="http://schemas.openxmlformats.org/officeDocument/2006/docPropsVTypes"/>
</file>