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Casablanca,</w:t>
      </w:r>
      <w:r>
        <w:t xml:space="preserve"> </w:t>
      </w:r>
      <w:r>
        <w:t xml:space="preserve">Morocco:</w:t>
      </w:r>
      <w:r>
        <w:t xml:space="preserve"> </w:t>
      </w:r>
      <w:r>
        <w:t xml:space="preserve">A</w:t>
      </w:r>
      <w:r>
        <w:t xml:space="preserve"> </w:t>
      </w:r>
      <w:r>
        <w:t xml:space="preserve">Modern</w:t>
      </w:r>
      <w:r>
        <w:t xml:space="preserve"> </w:t>
      </w:r>
      <w:r>
        <w:t xml:space="preserve">Academic</w:t>
      </w:r>
      <w:r>
        <w:t xml:space="preserve"> </w:t>
      </w:r>
      <w:r>
        <w:t xml:space="preserve">Perspective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Strategic Role of the Accountant in Casablanca, Morocco: A Modern Academic Perspective</dc:title>
  <dc:creator/>
  <dc:language>en</dc:language>
  <cp:keywords/>
  <dcterms:created xsi:type="dcterms:W3CDTF">2026-09-26T16:06:20Z</dcterms:created>
  <dcterms:modified xsi:type="dcterms:W3CDTF">2026-09-26T16:06:20Z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