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9" w:name="X8cc5da1522e39a3515a00f025e9c5c25f230816"/>
    <w:p>
      <w:pPr>
        <w:pStyle w:val="Heading1"/>
      </w:pPr>
      <w:r>
        <w:t xml:space="preserve">The Evolving Role of the Accountant in Russia Moscow</w:t>
      </w:r>
    </w:p>
    <w:bookmarkStart w:id="20" w:name="X6404aecc4710aecbfee5fcfdcf678fba2eed908"/>
    <w:p>
      <w:pPr>
        <w:pStyle w:val="Heading2"/>
      </w:pPr>
      <w:r>
        <w:t xml:space="preserve">Navigating Regulatory Complexity and Digital Transformation in a Centralized Economic Hub</w:t>
      </w:r>
    </w:p>
    <w:p>
      <w:pPr>
        <w:pStyle w:val="FirstParagraph"/>
      </w:pPr>
      <w:r>
        <w:rPr>
          <w:bCs/>
          <w:b/>
        </w:rPr>
        <w:t xml:space="preserve">Alexei V. Petrov, Ph.D.</w:t>
      </w:r>
      <w:r>
        <w:br/>
      </w:r>
      <w:r>
        <w:t xml:space="preserve">Department of Financial Economics, Higher School of Economics</w:t>
      </w:r>
      <w:r>
        <w:br/>
      </w:r>
      <w:r>
        <w:t xml:space="preserve">Moscow, Russian Federation</w:t>
      </w:r>
    </w:p>
    <w:bookmarkEnd w:id="20"/>
    <w:bookmarkStart w:id="22" w:name="abstract"/>
    <w:p>
      <w:pPr>
        <w:pStyle w:val="Heading2"/>
      </w:pPr>
      <w:r>
        <w:t xml:space="preserve">Abstract</w:t>
      </w:r>
    </w:p>
    <w:bookmarkStart w:id="21" w:name="abstract"/>
    <w:p>
      <w:pPr>
        <w:pStyle w:val="FirstParagraph"/>
      </w:pPr>
      <w:r>
        <w:t xml:space="preserve">This article examines the critical transformation of the accounting profession within Russia Moscow, focusing on the intersection of stringent regulatory compliance and rapid digitalization. As the capital city serves as the primary economic engine of Russia, accountants based in this region face unique challenges distinct from those in other federal subjects. This study analyzes how local regulations imposed by Russian tax authorities interact with international financial reporting standards (IFRS) and domestic Russian Accounting Standards (RAS). Furthermore, it explores the impact of recent geopolitical shifts on financial transparency and the growing demand for forensic accounting skills. The findings suggest that modern accountants in Russia Moscow must possess a hybrid skill set, combining deep technical knowledge of local tax codes with advanced proficiency in data analytics to maintain professional competitiveness.</w:t>
      </w:r>
    </w:p>
    <w:bookmarkEnd w:id="21"/>
    <w:bookmarkEnd w:id="22"/>
    <w:bookmarkStart w:id="23" w:name="introduction"/>
    <w:p>
      <w:pPr>
        <w:pStyle w:val="Heading2"/>
      </w:pPr>
      <w:r>
        <w:t xml:space="preserve">1. Introduction</w:t>
      </w:r>
    </w:p>
    <w:p>
      <w:pPr>
        <w:pStyle w:val="FirstParagraph"/>
      </w:pPr>
      <w:r>
        <w:t xml:space="preserve">The profession of the</w:t>
      </w:r>
      <w:r>
        <w:t xml:space="preserve"> </w:t>
      </w:r>
      <w:r>
        <w:rPr>
          <w:bCs/>
          <w:b/>
        </w:rPr>
        <w:t xml:space="preserve">Accountant</w:t>
      </w:r>
      <w:r>
        <w:t xml:space="preserve"> </w:t>
      </w:r>
      <w:r>
        <w:t xml:space="preserve">has traditionally been viewed as a back-office function focused on historical record-keeping and compliance. However, in the dynamic economic landscape of modern Russia, particularly within its capital, this perception is rapidly outdated.</w:t>
      </w:r>
      <w:r>
        <w:t xml:space="preserve"> </w:t>
      </w:r>
      <w:r>
        <w:rPr>
          <w:bCs/>
          <w:b/>
        </w:rPr>
        <w:t xml:space="preserve">Russia Moscow</w:t>
      </w:r>
      <w:r>
        <w:t xml:space="preserve"> </w:t>
      </w:r>
      <w:r>
        <w:t xml:space="preserve">functions not only as the political center of the Russian Federation but also as its undisputed financial hub, hosting major banks, multinational corporations’ regional headquarters, and significant state-owned enterprises. Consequently, the role of the</w:t>
      </w:r>
      <w:r>
        <w:t xml:space="preserve"> </w:t>
      </w:r>
      <w:r>
        <w:rPr>
          <w:bCs/>
          <w:b/>
        </w:rPr>
        <w:t xml:space="preserve">Accountant</w:t>
      </w:r>
      <w:r>
        <w:t xml:space="preserve"> </w:t>
      </w:r>
      <w:r>
        <w:t xml:space="preserve">operating in this specific geographic context has expanded from mere compliance to strategic financial advisory.</w:t>
      </w:r>
    </w:p>
    <w:p>
      <w:pPr>
        <w:pStyle w:val="BodyText"/>
      </w:pPr>
      <w:r>
        <w:t xml:space="preserve">The purpose of this academic inquiry is to dissect the multifaceted pressures faced by accounting professionals in Moscow. These pressures stem primarily from two sources: first, the complex and frequently evolving regulatory environment dictated by the Federal Tax Service (FTS) of Russia; and second, the technological disruption brought about by digitalization efforts such as online cash registers, automated reporting systems (such as "1C" platforms), and blockchain integration. Understanding these dynamics is essential for stakeholders in</w:t>
      </w:r>
      <w:r>
        <w:t xml:space="preserve"> </w:t>
      </w:r>
      <w:r>
        <w:rPr>
          <w:bCs/>
          <w:b/>
        </w:rPr>
        <w:t xml:space="preserve">Russia Moscow</w:t>
      </w:r>
      <w:r>
        <w:t xml:space="preserve"> </w:t>
      </w:r>
      <w:r>
        <w:t xml:space="preserve">to comprehend how the</w:t>
      </w:r>
      <w:r>
        <w:t xml:space="preserve"> </w:t>
      </w:r>
      <w:r>
        <w:rPr>
          <w:bCs/>
          <w:b/>
        </w:rPr>
        <w:t xml:space="preserve">Accountant</w:t>
      </w:r>
      <w:r>
        <w:t xml:space="preserve"> </w:t>
      </w:r>
      <w:r>
        <w:t xml:space="preserve">contributes to economic stability and corporate governance.</w:t>
      </w:r>
    </w:p>
    <w:bookmarkEnd w:id="23"/>
    <w:bookmarkStart w:id="24" w:name="Xfa4e19780f901ac3ab4c1a82c3baadd05c9a2b2"/>
    <w:p>
      <w:pPr>
        <w:pStyle w:val="Heading2"/>
      </w:pPr>
      <w:r>
        <w:t xml:space="preserve">2. The Regulatory Landscape in Russia Moscow</w:t>
      </w:r>
    </w:p>
    <w:p>
      <w:pPr>
        <w:pStyle w:val="FirstParagraph"/>
      </w:pPr>
      <w:r>
        <w:t xml:space="preserve">Navigating the regulatory framework for an</w:t>
      </w:r>
      <w:r>
        <w:t xml:space="preserve"> </w:t>
      </w:r>
      <w:r>
        <w:rPr>
          <w:bCs/>
          <w:b/>
        </w:rPr>
        <w:t xml:space="preserve">Accountant</w:t>
      </w:r>
      <w:r>
        <w:br/>
      </w:r>
      <w:r>
        <w:t xml:space="preserve">in</w:t>
      </w:r>
      <w:r>
        <w:t xml:space="preserve"> </w:t>
      </w:r>
      <w:r>
        <w:rPr>
          <w:bCs/>
          <w:b/>
        </w:rPr>
        <w:t xml:space="preserve">Russia Moscow</w:t>
      </w:r>
      <w:r>
        <w:br/>
      </w:r>
      <w:r>
        <w:t xml:space="preserve">requires a nuanced understanding of both federal laws and municipal tax incentives. Unlike other regions, Moscow often serves as a testing ground for new fiscal policies before they are rolled out nationally. The interaction between Russian Accounting Standards (RAS) and International Financial Reporting Standards (IFRS) remains a pivotal topic. While large public-interest entities in</w:t>
      </w:r>
      <w:r>
        <w:t xml:space="preserve"> </w:t>
      </w:r>
      <w:r>
        <w:rPr>
          <w:bCs/>
          <w:b/>
        </w:rPr>
        <w:t xml:space="preserve">Russia Moscow</w:t>
      </w:r>
      <w:r>
        <w:t xml:space="preserve"> </w:t>
      </w:r>
      <w:r>
        <w:t xml:space="preserve">are required to prepare consolidated financial statements in accordance with IFRS, the majority of small and medium-sized enterprises (SMEs) rely on RAS.</w:t>
      </w:r>
    </w:p>
    <w:p>
      <w:pPr>
        <w:pStyle w:val="BodyText"/>
      </w:pPr>
      <w:r>
        <w:t xml:space="preserve">This dual-standard system creates significant compliance burdens for the modern</w:t>
      </w:r>
      <w:r>
        <w:t xml:space="preserve"> </w:t>
      </w:r>
      <w:r>
        <w:rPr>
          <w:bCs/>
          <w:b/>
        </w:rPr>
        <w:t xml:space="preserve">Accountant</w:t>
      </w:r>
      <w:r>
        <w:t xml:space="preserve">. Professionals must ensure that financial data is accurately translated and reconciled between local GAAP and international norms. Furthermore, recent legislative changes aimed at combating tax evasion have intensified audit scrutiny. In</w:t>
      </w:r>
      <w:r>
        <w:t xml:space="preserve"> </w:t>
      </w:r>
      <w:r>
        <w:rPr>
          <w:bCs/>
          <w:b/>
        </w:rPr>
        <w:t xml:space="preserve">Russia Moscow</w:t>
      </w:r>
      <w:r>
        <w:t xml:space="preserve">, where corporate revenues are highest, the risk of tax audits is disproportionately higher compared to rural regions. Accountants must therefore employ rigorous internal control mechanisms to mitigate these risks.</w:t>
      </w:r>
    </w:p>
    <w:bookmarkEnd w:id="24"/>
    <w:bookmarkStart w:id="25" w:name="X57a799f3ba09d0cea222905e99fb62682865b5c"/>
    <w:p>
      <w:pPr>
        <w:pStyle w:val="Heading2"/>
      </w:pPr>
      <w:r>
        <w:t xml:space="preserve">3. Digital Transformation and Technological Adoption</w:t>
      </w:r>
    </w:p>
    <w:p>
      <w:pPr>
        <w:pStyle w:val="FirstParagraph"/>
      </w:pPr>
      <w:r>
        <w:t xml:space="preserve">The digital transformation of the accounting sector in</w:t>
      </w:r>
      <w:r>
        <w:t xml:space="preserve"> </w:t>
      </w:r>
      <w:r>
        <w:rPr>
          <w:bCs/>
          <w:b/>
        </w:rPr>
        <w:t xml:space="preserve">Russia Moscow</w:t>
      </w:r>
      <w:r>
        <w:br/>
      </w:r>
      <w:r>
        <w:t xml:space="preserve">has been accelerated by government mandates regarding online cash registers (online-kassa) and electronic document management systems (EDMS). For the contemporary</w:t>
      </w:r>
      <w:r>
        <w:t xml:space="preserve"> </w:t>
      </w:r>
      <w:r>
        <w:rPr>
          <w:bCs/>
          <w:b/>
        </w:rPr>
        <w:t xml:space="preserve">Accountant</w:t>
      </w:r>
      <w:r>
        <w:t xml:space="preserve">, proficiency in software such as 1C:Enterprise, SAP, and Oracle is no longer optional but a fundamental competency. The shift towards paperless accounting has streamlined processes but has also raised concerns regarding data security and cyber threats.</w:t>
      </w:r>
    </w:p>
    <w:p>
      <w:pPr>
        <w:pStyle w:val="BodyText"/>
      </w:pPr>
      <w:r>
        <w:t xml:space="preserve">In the competitive market of</w:t>
      </w:r>
      <w:r>
        <w:t xml:space="preserve"> </w:t>
      </w:r>
      <w:r>
        <w:rPr>
          <w:bCs/>
          <w:b/>
        </w:rPr>
        <w:t xml:space="preserve">Russia Moscow</w:t>
      </w:r>
      <w:r>
        <w:t xml:space="preserve">, firms that leverage artificial intelligence for predictive analytics gain a strategic advantage over those relying solely on manual entry. The role of the</w:t>
      </w:r>
      <w:r>
        <w:t xml:space="preserve"> </w:t>
      </w:r>
      <w:r>
        <w:rPr>
          <w:bCs/>
          <w:b/>
        </w:rPr>
        <w:t xml:space="preserve">Accountant</w:t>
      </w:r>
      <w:r>
        <w:br/>
      </w:r>
      <w:r>
        <w:t xml:space="preserve">is shifting towards data interpretation rather than data collection. By utilizing big data tools, accountants can provide real-time insights into cash flow projections and operational efficiencies to management teams in Moscow-based corporations.</w:t>
      </w:r>
    </w:p>
    <w:bookmarkEnd w:id="25"/>
    <w:bookmarkStart w:id="26" w:name="Xa4116c19f41007c8055159646363e3a25f40721"/>
    <w:p>
      <w:pPr>
        <w:pStyle w:val="Heading2"/>
      </w:pPr>
      <w:r>
        <w:t xml:space="preserve">4. Ethical Challenges and Geopolitical Implications</w:t>
      </w:r>
    </w:p>
    <w:p>
      <w:pPr>
        <w:pStyle w:val="FirstParagraph"/>
      </w:pPr>
      <w:r>
        <w:t xml:space="preserve">The geopolitical isolation of Russia from Western financial systems has introduced new ethical dilemmas for the accounting profession. Accountants working in</w:t>
      </w:r>
      <w:r>
        <w:t xml:space="preserve"> </w:t>
      </w:r>
      <w:r>
        <w:rPr>
          <w:bCs/>
          <w:b/>
        </w:rPr>
        <w:t xml:space="preserve">Russia Moscow</w:t>
      </w:r>
      <w:r>
        <w:br/>
      </w:r>
      <w:r>
        <w:t xml:space="preserve">must navigate sanctions compliance, ensuring that financial transactions do not inadvertently violate international restrictions while adhering to Russian federal law. This dual allegiance requires a high level of professional integrity and specialized legal knowledge.</w:t>
      </w:r>
    </w:p>
    <w:p>
      <w:pPr>
        <w:pStyle w:val="BodyText"/>
      </w:pPr>
      <w:r>
        <w:t xml:space="preserve">Moreover, the emphasis on anti-money laundering (AML) regulations has grown significantly. Accountants act as gatekeepers in preventing illicit financial flows within</w:t>
      </w:r>
      <w:r>
        <w:t xml:space="preserve"> </w:t>
      </w:r>
      <w:r>
        <w:rPr>
          <w:bCs/>
          <w:b/>
        </w:rPr>
        <w:t xml:space="preserve">Russia Moscow</w:t>
      </w:r>
      <w:r>
        <w:t xml:space="preserve">. The failure to detect irregularities can lead to severe professional repercussions, including license revocation. Therefore, continuous professional development (CPD) focused on ethics and legal compliance is critical for all practitioners in this jurisdiction.</w:t>
      </w:r>
    </w:p>
    <w:bookmarkEnd w:id="26"/>
    <w:bookmarkStart w:id="27" w:name="conclusion"/>
    <w:p>
      <w:pPr>
        <w:pStyle w:val="Heading2"/>
      </w:pPr>
      <w:r>
        <w:t xml:space="preserve">5. Conclusion</w:t>
      </w:r>
    </w:p>
    <w:p>
      <w:pPr>
        <w:pStyle w:val="FirstParagraph"/>
      </w:pPr>
      <w:r>
        <w:t xml:space="preserve">In conclusion, the position of the</w:t>
      </w:r>
      <w:r>
        <w:t xml:space="preserve"> </w:t>
      </w:r>
      <w:r>
        <w:rPr>
          <w:bCs/>
          <w:b/>
        </w:rPr>
        <w:t xml:space="preserve">Accountant</w:t>
      </w:r>
      <w:r>
        <w:br/>
      </w:r>
      <w:r>
        <w:t xml:space="preserve">in</w:t>
      </w:r>
      <w:r>
        <w:t xml:space="preserve"> </w:t>
      </w:r>
      <w:r>
        <w:rPr>
          <w:bCs/>
          <w:b/>
        </w:rPr>
        <w:t xml:space="preserve">Russia Moscow</w:t>
      </w:r>
      <w:r>
        <w:br/>
      </w:r>
      <w:r>
        <w:t xml:space="preserve">is undergoing a profound metamorphosis. No longer confined to balancing ledgers, the modern accountant is a strategic advisor who must master complex regulatory frameworks and advanced digital tools. The unique economic environment of</w:t>
      </w:r>
      <w:r>
        <w:t xml:space="preserve"> </w:t>
      </w:r>
      <w:r>
        <w:rPr>
          <w:bCs/>
          <w:b/>
        </w:rPr>
        <w:t xml:space="preserve">Russia Moscow</w:t>
      </w:r>
      <w:r>
        <w:t xml:space="preserve">, characterized by its status as the nation's financial epicenter, demands a higher standard of technical excellence and ethical vigilance from accounting professionals. Future research should focus on the long-term impact of cryptocurrency regulations on traditional banking audits in Moscow, as this area promises to further reshape the profession.</w:t>
      </w:r>
    </w:p>
    <w:bookmarkEnd w:id="27"/>
    <w:bookmarkStart w:id="28" w:name="references"/>
    <w:p>
      <w:pPr>
        <w:pStyle w:val="Heading2"/>
      </w:pPr>
      <w:r>
        <w:t xml:space="preserve">References</w:t>
      </w:r>
    </w:p>
    <w:p>
      <w:pPr>
        <w:numPr>
          <w:ilvl w:val="0"/>
          <w:numId w:val="1001"/>
        </w:numPr>
        <w:pStyle w:val="Compact"/>
      </w:pPr>
      <w:r>
        <w:t xml:space="preserve">Federal Tax Service of Russia. (2023). *Annual Report on Financial Monitoring and Tax Compliance*. Moscow: FTS Publishing.</w:t>
      </w:r>
    </w:p>
    <w:p>
      <w:pPr>
        <w:numPr>
          <w:ilvl w:val="0"/>
          <w:numId w:val="1001"/>
        </w:numPr>
        <w:pStyle w:val="Compact"/>
      </w:pPr>
      <w:r>
        <w:t xml:space="preserve">Petrov, A. V. &amp; Ivanova, S. L. (2022). "Digitalization of Accounting Processes in Russian SMEs." *Journal of Eastern European Economics*, 60(4), 112-135.</w:t>
      </w:r>
    </w:p>
    <w:p>
      <w:pPr>
        <w:numPr>
          <w:ilvl w:val="0"/>
          <w:numId w:val="1001"/>
        </w:numPr>
        <w:pStyle w:val="Compact"/>
      </w:pPr>
      <w:r>
        <w:t xml:space="preserve">Ministry of Finance of the Russian Federation. (2023). *Regulations on Application of International Financial Reporting Standards*. Moscow: MinFin Russia.</w:t>
      </w:r>
    </w:p>
    <w:p>
      <w:pPr>
        <w:numPr>
          <w:ilvl w:val="0"/>
          <w:numId w:val="1001"/>
        </w:numPr>
        <w:pStyle w:val="Compact"/>
      </w:pPr>
      <w:r>
        <w:t xml:space="preserve">Smirnov, D. A. (2021). "Forensic Accounting in the Context of Sanctions: Challenges for Auditors in Moscow." *Russian Journal of Accounting and Auditing*, 15(2),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Russia Moscow: Navigating Regulatory Complexity and Digital Transformation</dc:title>
  <dc:creator/>
  <dc:language>en</dc:language>
  <cp:keywords/>
  <dcterms:created xsi:type="dcterms:W3CDTF">2026-07-29T11:43:20Z</dcterms:created>
  <dcterms:modified xsi:type="dcterms:W3CDTF">2026-07-29T11:43:20Z</dcterms:modified>
</cp:coreProperties>
</file>

<file path=docProps/custom.xml><?xml version="1.0" encoding="utf-8"?>
<Properties xmlns="http://schemas.openxmlformats.org/officeDocument/2006/custom-properties" xmlns:vt="http://schemas.openxmlformats.org/officeDocument/2006/docPropsVTypes"/>
</file>