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Switzerland-Zurich:</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8a8ce97010ab06f805aecc9419e7d4d0c4bd94a"/>
    <w:p>
      <w:pPr>
        <w:pStyle w:val="Heading1"/>
      </w:pPr>
      <w:r>
        <w:t xml:space="preserve">The Role of the Accountant in Switzerland-Zurich: Navigating Regulatory Complexity and Financial Excellence</w:t>
      </w:r>
    </w:p>
    <w:p>
      <w:pPr>
        <w:pStyle w:val="FirstParagraph"/>
      </w:pPr>
      <w:r>
        <w:rPr>
          <w:bCs/>
          <w:b/>
        </w:rPr>
        <w:t xml:space="preserve">Author:</w:t>
      </w:r>
      <w:r>
        <w:t xml:space="preserve"> </w:t>
      </w:r>
      <w:r>
        <w:t xml:space="preserve">Dr. Elias Weber</w:t>
      </w:r>
      <w:r>
        <w:br/>
      </w:r>
      <w:r>
        <w:rPr>
          <w:bCs/>
          <w:b/>
        </w:rPr>
        <w:t xml:space="preserve">Institution:</w:t>
      </w:r>
      <w:r>
        <w:t xml:space="preserve"> </w:t>
      </w:r>
      <w:r>
        <w:t xml:space="preserve">Institute for European Fiscal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Accountant within the specific economic and regulatory framework of Switzerland-Zurich. As Zurich stands as a global hub for finance, insurance, and wealth management, the accountant in this region performs duties that extend far beyond traditional bookkeeping. This study analyzes how Swiss law, particularly regarding double taxation agreements with Germany and strict anti-money laundering directives applicable to Switzerland-Zurich professionals impacts daily operations. Furthermore, it explores the integration of digital transformation in accounting practices within this prestigious jurisdiction.</w:t>
      </w:r>
    </w:p>
    <w:bookmarkEnd w:id="20"/>
    <w:bookmarkStart w:id="21" w:name="introduction"/>
    <w:p>
      <w:pPr>
        <w:pStyle w:val="Heading2"/>
      </w:pPr>
      <w:r>
        <w:t xml:space="preserve">1. Introduction</w:t>
      </w:r>
    </w:p>
    <w:p>
      <w:pPr>
        <w:pStyle w:val="FirstParagraph"/>
      </w:pPr>
      <w:r>
        <w:t xml:space="preserve">The professional landscape of modern finance is characterized by rapid technological advancement and increasingly stringent regulatory oversight. Nowhere is this dichotomy more evident than in Switzerland-Zurich, a city that serves as the financial heart of the Swiss Confederation. For the Accountant operating in this region, the responsibilities are complex, requiring a nuanced understanding of both local cantonal laws and international financial standards. This article aims to provide an academic overview of how an Accountant functions within this high-stakes environment, with specific attention to cross-border transactions involving Switzerland-Zurich entities and German counterparts.</w:t>
      </w:r>
    </w:p>
    <w:bookmarkEnd w:id="21"/>
    <w:bookmarkStart w:id="22" w:name="X68082dba2931a8504c75f32f6e65a452e3deb05"/>
    <w:p>
      <w:pPr>
        <w:pStyle w:val="Heading2"/>
      </w:pPr>
      <w:r>
        <w:t xml:space="preserve">2. The Regulatory Framework: Swiss Law and International Context</w:t>
      </w:r>
    </w:p>
    <w:p>
      <w:pPr>
        <w:pStyle w:val="FirstParagraph"/>
      </w:pPr>
      <w:r>
        <w:t xml:space="preserve">To understand the job description of an Accountant in Switzerland-Zurich, one must first grasp the regulatory environment. The accountant in this region is not merely a recorder of financial history but a strategic advisor ensuring compliance with the Swiss Federal Act on Anti-Money Laundering (AML). Given Zurich’s status as a global wealth management center, the scrutiny on financial flows is intense.</w:t>
      </w:r>
    </w:p>
    <w:p>
      <w:pPr>
        <w:pStyle w:val="BodyText"/>
      </w:pPr>
      <w:r>
        <w:t xml:space="preserve">A critical aspect of the Accountant's role in Switzerland-Zurich involves navigating tax treaties. Specifically, for professionals dealing with cross-border clients, knowledge of the double taxation agreement between Germany and Switzerland is paramount. This treaty dictates how income derived from one country but taxed in another is handled to prevent fiscal penalization of the taxpayer. An Accountant must ensure that transfers between a German entity and its Swiss-Zurich subsidiary are priced according to arm’s length principles, thereby avoiding severe penalties under Swiss tax law.</w:t>
      </w:r>
    </w:p>
    <w:bookmarkEnd w:id="22"/>
    <w:bookmarkStart w:id="23" w:name="X44d1ba4e54de81fa12bec3183a3391f8cca1def"/>
    <w:p>
      <w:pPr>
        <w:pStyle w:val="Heading2"/>
      </w:pPr>
      <w:r>
        <w:t xml:space="preserve">3. Core Responsibilities and Strategic Advisory</w:t>
      </w:r>
    </w:p>
    <w:p>
      <w:pPr>
        <w:pStyle w:val="FirstParagraph"/>
      </w:pPr>
      <w:r>
        <w:t xml:space="preserve">The traditional view of an Accountant as a number-cruncher is obsolete in the Zurich context. Today, the Accountant acts as a strategic business partner. In Switzerland-Zurich, where corporate structures are often multinational, the accountant is responsible for consolidating financial statements that comply with both Swiss GAAP FER (Financial Reporting Standard) and International Financial Reporting Standards (IFRS).</w:t>
      </w:r>
    </w:p>
    <w:p>
      <w:pPr>
        <w:pStyle w:val="BodyText"/>
      </w:pPr>
      <w:r>
        <w:t xml:space="preserve">Moreover, the accountant in Switzerland-Zurich plays a pivotal role in payroll administration. Switzerland has a unique social security system involving AHV/IV (Old Age and Survivors' Insurance), which requires precise calculation of contributions from both employees and employers. For an Accountant managing clients who may have cross-border commuters or expatriate staff, understanding the coordination of social security between Germany and Switzerland is essential to avoid double contributions.</w:t>
      </w:r>
    </w:p>
    <w:bookmarkEnd w:id="23"/>
    <w:bookmarkStart w:id="24" w:name="Xc37787ffb9331a9276799092c3347b3abe260ec"/>
    <w:p>
      <w:pPr>
        <w:pStyle w:val="Heading2"/>
      </w:pPr>
      <w:r>
        <w:t xml:space="preserve">4. The Impact of Digitalization on Accounting Practices</w:t>
      </w:r>
    </w:p>
    <w:p>
      <w:pPr>
        <w:pStyle w:val="FirstParagraph"/>
      </w:pPr>
      <w:r>
        <w:t xml:space="preserve">The adoption of digital tools in the accounting sector has transformed how an Accountant operates in Switzerland-Zurich. Cloud-based accounting software is now standard, allowing for real-time financial reporting and enhanced security measures, which are critical given the sensitivity of data held by Zurich’s banks and insurance firms. However, this digital shift also brings challenges related to data privacy under the Swiss Federal Act on Data Protection (nFADP).</w:t>
      </w:r>
    </w:p>
    <w:p>
      <w:pPr>
        <w:pStyle w:val="BodyText"/>
      </w:pPr>
      <w:r>
        <w:t xml:space="preserve">The Accountant must ensure that all electronic transactions and storage methods comply with these rigorous standards. Furthermore, the integration of Artificial Intelligence (AI) in auditing processes allows for more efficient fraud detection, a vital service for maintaining the integrity of the financial sector in Switzerland-Zurich.</w:t>
      </w:r>
    </w:p>
    <w:bookmarkEnd w:id="24"/>
    <w:bookmarkStart w:id="25" w:name="challenges-and-ethical-considerations"/>
    <w:p>
      <w:pPr>
        <w:pStyle w:val="Heading2"/>
      </w:pPr>
      <w:r>
        <w:t xml:space="preserve">5. Challenges and Ethical Considerations</w:t>
      </w:r>
    </w:p>
    <w:p>
      <w:pPr>
        <w:pStyle w:val="FirstParagraph"/>
      </w:pPr>
      <w:r>
        <w:t xml:space="preserve">Ethics remain at the core of accounting practice. In Switzerland-Zurich, where trust is the primary currency of finance, an Accountant must adhere to the highest ethical standards. This includes maintaining strict confidentiality regarding client assets and ensuring transparency in reporting. The recent global efforts against tax evasion have placed additional pressure on professionals to ensure that all structures are legitimate and fully compliant with international exchange of information standards.</w:t>
      </w:r>
    </w:p>
    <w:p>
      <w:pPr>
        <w:pStyle w:val="BodyText"/>
      </w:pPr>
      <w:r>
        <w:t xml:space="preserve">Additionally, the Accountant faces ongoing educational requirements to keep pace with changes in legislation. Whether it is updates regarding VAT rates or new interpretations of the double taxation agreement between Germany and Switzerland, continuous professional development is mandatory for any Accountant aiming to provide accurate advice in this dynamic jurisdiction.</w:t>
      </w:r>
    </w:p>
    <w:bookmarkEnd w:id="25"/>
    <w:bookmarkStart w:id="26" w:name="conclusion"/>
    <w:p>
      <w:pPr>
        <w:pStyle w:val="Heading2"/>
      </w:pPr>
      <w:r>
        <w:t xml:space="preserve">6. Conclusion</w:t>
      </w:r>
    </w:p>
    <w:p>
      <w:pPr>
        <w:pStyle w:val="FirstParagraph"/>
      </w:pPr>
      <w:r>
        <w:t xml:space="preserve">In conclusion, the role of the Accountant in Switzerland-Zurich is one of profound responsibility and strategic importance. It requires a blend of technical expertise, legal knowledge, and ethical rigor. By mastering the complexities of Swiss law, including specific provisions related to international treaties with Germany and robust AML regulations, an Accountant serves as a cornerstone for financial stability in the region. As Switzerland-Zurich continues to evolve as a global financial hub, the profession will undoubtedly adapt further, emphasizing digital literacy and cross-border regulatory fluency.</w:t>
      </w:r>
    </w:p>
    <w:bookmarkEnd w:id="26"/>
    <w:bookmarkStart w:id="27" w:name="references"/>
    <w:p>
      <w:pPr>
        <w:pStyle w:val="Heading2"/>
      </w:pPr>
      <w:r>
        <w:t xml:space="preserve">References</w:t>
      </w:r>
    </w:p>
    <w:p>
      <w:pPr>
        <w:numPr>
          <w:ilvl w:val="0"/>
          <w:numId w:val="1001"/>
        </w:numPr>
        <w:pStyle w:val="Compact"/>
      </w:pPr>
      <w:r>
        <w:t xml:space="preserve">Federal Tax Administration (FTA) of Switzerland. (2023). *Tax Treaties and International Agreements.*</w:t>
      </w:r>
    </w:p>
    <w:p>
      <w:pPr>
        <w:numPr>
          <w:ilvl w:val="0"/>
          <w:numId w:val="1001"/>
        </w:numPr>
        <w:pStyle w:val="Compact"/>
      </w:pPr>
      <w:r>
        <w:t xml:space="preserve">Schweizerischer Berufsverband der Treuhandexperten SBVT. (2022). *Standards for Professional Conduct in Zurich.*</w:t>
      </w:r>
    </w:p>
    <w:p>
      <w:pPr>
        <w:numPr>
          <w:ilvl w:val="0"/>
          <w:numId w:val="1001"/>
        </w:numPr>
        <w:pStyle w:val="Compact"/>
      </w:pPr>
      <w:r>
        <w:t xml:space="preserve">Gemeinsame Erklärung zwischen der Bundesrepublik Deutschland und der Schweizerischen Eidgenossenschaft über die Doppelbesteuerung. (2019). *Double Taxation Agreement Text.*</w:t>
      </w:r>
    </w:p>
    <w:p>
      <w:pPr>
        <w:numPr>
          <w:ilvl w:val="0"/>
          <w:numId w:val="1001"/>
        </w:numPr>
        <w:pStyle w:val="Compact"/>
      </w:pPr>
      <w:r>
        <w:t xml:space="preserve">Swiss Federal Council. (2023). *Ordinance against Money Laundering and Terrorist Financing.*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Switzerland-Zurich: A Comprehensive Academic Analysis</dc:title>
  <dc:creator/>
  <dc:language>en</dc:language>
  <cp:keywords/>
  <dcterms:created xsi:type="dcterms:W3CDTF">2026-07-29T10:14:51Z</dcterms:created>
  <dcterms:modified xsi:type="dcterms:W3CDTF">2026-07-29T10:14:51Z</dcterms:modified>
</cp:coreProperties>
</file>

<file path=docProps/custom.xml><?xml version="1.0" encoding="utf-8"?>
<Properties xmlns="http://schemas.openxmlformats.org/officeDocument/2006/custom-properties" xmlns:vt="http://schemas.openxmlformats.org/officeDocument/2006/docPropsVTypes"/>
</file>