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Regulatory</w:t>
      </w:r>
      <w:r>
        <w:t xml:space="preserve"> </w:t>
      </w:r>
      <w:r>
        <w:t xml:space="preserve">Frameworks,</w:t>
      </w:r>
      <w:r>
        <w:t xml:space="preserve"> </w:t>
      </w:r>
      <w:r>
        <w:t xml:space="preserve">Tax</w:t>
      </w:r>
      <w:r>
        <w:t xml:space="preserve"> </w:t>
      </w:r>
      <w:r>
        <w:t xml:space="preserve">Implications,</w:t>
      </w:r>
      <w:r>
        <w:t xml:space="preserve"> </w:t>
      </w:r>
      <w:r>
        <w:t xml:space="preserve">and</w:t>
      </w:r>
      <w:r>
        <w:t xml:space="preserve"> </w:t>
      </w:r>
      <w:r>
        <w:t xml:space="preserve">Economic</w:t>
      </w:r>
      <w:r>
        <w:t xml:space="preserve"> </w:t>
      </w:r>
      <w:r>
        <w:t xml:space="preserve">Impact</w:t>
      </w:r>
    </w:p>
    <w:bookmarkStart w:id="27" w:name="X22830b19e0ca95281df75d1949a8e98b34a2725"/>
    <w:p>
      <w:pPr>
        <w:pStyle w:val="Heading1"/>
      </w:pPr>
      <w:r>
        <w:t xml:space="preserve">The Evolving Role of Accountants in United States Miami: A Comparative Analysis of Regulatory Frameworks, Tax Implications, and Economic Impact</w:t>
      </w:r>
    </w:p>
    <w:p>
      <w:pPr>
        <w:pStyle w:val="FirstParagraph"/>
      </w:pPr>
      <w:r>
        <w:rPr>
          <w:iCs/>
          <w:i/>
          <w:bCs/>
          <w:b/>
        </w:rPr>
        <w:t xml:space="preserve">Jordan M. Sterling, PhD</w:t>
      </w:r>
      <w:r>
        <w:br/>
      </w:r>
      <w:r>
        <w:rPr>
          <w:iCs/>
          <w:i/>
          <w:bCs/>
          <w:b/>
        </w:rPr>
        <w:t xml:space="preserve">School of Business Administration and Public Policy</w:t>
      </w:r>
      <w:r>
        <w:br/>
      </w:r>
      <w:r>
        <w:rPr>
          <w:iCs/>
          <w:i/>
          <w:bCs/>
          <w:b/>
        </w:rPr>
        <w:t xml:space="preserve">University of South Florida-Miami Campus</w:t>
      </w:r>
      <w:r>
        <w:br/>
      </w:r>
      <w:r>
        <w:t xml:space="preserve">Date: October 26, 2023 | Vol. 14, Issue 3</w:t>
      </w:r>
    </w:p>
    <w:p>
      <w:pPr>
        <w:pStyle w:val="BodyText"/>
      </w:pPr>
      <w:r>
        <w:rPr>
          <w:iCs/>
          <w:i/>
          <w:bCs/>
          <w:b/>
        </w:rPr>
        <w:t xml:space="preserve">Abstract:</w:t>
      </w:r>
      <w:r>
        <w:br/>
      </w:r>
      <w:r>
        <w:t xml:space="preserve">This academic journal article examines the critical function of the Accountant within the unique economic and regulatory landscape of United States Miami. As a global gateway for Latin American investment and a hub for international trade, Miami presents distinct challenges regarding tax compliance, cross-border financial reporting, and anti-money laundering (AML) protocols. This study analyzes how modern accounting practices in this region must adapt to federal mandates while addressing local market dynamics. By comparing traditional audit methodologies with contemporary digital forensic accounting tools, this paper argues that the role of the Accountant has shifted from mere record-keeper to strategic risk manager. The findings suggest that rigorous adherence to United States Miami-specific regulatory interpretations is essential for maintaining fiscal integrity and fostering sustainable economic growth in one of America's most dynamic metropolitan areas.</w:t>
      </w:r>
    </w:p>
    <w:bookmarkStart w:id="20" w:name="i.-introduction"/>
    <w:p>
      <w:pPr>
        <w:pStyle w:val="Heading2"/>
      </w:pPr>
      <w:r>
        <w:t xml:space="preserve">I. Introduction</w:t>
      </w:r>
    </w:p>
    <w:p>
      <w:pPr>
        <w:pStyle w:val="FirstParagraph"/>
      </w:pPr>
      <w:r>
        <w:t xml:space="preserve">The profession of the Accountant has undergone a profound transformation over the past two decades, driven by technological advancement, globalization, and increasingly complex regulatory environments. Nowhere is this transformation more evident than in United States Miami, a city that serves as a pivotal node in the Atlantic Basin's economic network. As the primary entry point for foreign direct investment into Latin America and the Caribbean, Miami attracts a diverse array of multinational corporations, high-net-w individual investors, and emerging market enterprises. Consequently, the Accountant operating within this jurisdiction faces unparalleled complexity in navigating federal tax codes state-specific regulations and international compliance standards.</w:t>
      </w:r>
      <w:r>
        <w:t xml:space="preserve"> </w:t>
      </w:r>
      <w:r>
        <w:t xml:space="preserve">This article posits that the traditional definition of an Accountant is insufficient for describing the multifaceted responsibilities required in United States Miami today. Instead, we propose a model of "Strategic Fiscal Stewardship," where accountants must possess not only technical proficiency but also cultural competency and geopolitical awareness to effectively serve their clients and protect institutional integrity.</w:t>
      </w:r>
    </w:p>
    <w:bookmarkEnd w:id="20"/>
    <w:bookmarkStart w:id="21" w:name="Xa343165277f4d0abe871782008a9d6ac6a528e0"/>
    <w:p>
      <w:pPr>
        <w:pStyle w:val="Heading2"/>
      </w:pPr>
      <w:r>
        <w:t xml:space="preserve">II. Regulatory Frameworks and Compliance Challenges</w:t>
      </w:r>
    </w:p>
    <w:p>
      <w:pPr>
        <w:pStyle w:val="FirstParagraph"/>
      </w:pPr>
      <w:r>
        <w:t xml:space="preserve">Operating as an Accountant in United States Miami requires navigating a dual-layered regulatory system: the overarching statutes of the United States federal government, specifically those enforced by the Internal Revenue Service (IRS) and the Financial Crimes Enforcement Network (FinCEN), alongside local municipal ordinances. The intersection of these frameworks creates a unique compliance landscape that demands specialized knowledge.</w:t>
      </w:r>
      <w:r>
        <w:t xml:space="preserve"> </w:t>
      </w:r>
      <w:r>
        <w:t xml:space="preserve">Firstly, Anti-Money Laundering (AML) regulations are strictly enforced in Miami due to its history as a transit point for illicit funds originating from South and Central America. Accountants must implement robust Know Your Customer (KYC) protocols and conduct enhanced due diligence on high-risk transactions. Failure to adhere to these standards can result in severe penalties, including loss of licensure and criminal liability. Therefore, the modern Accountant must function as a gatekeeper, ensuring that all financial activities align with both the Bank Secrecy Act and local anti-fraud statutes.</w:t>
      </w:r>
      <w:r>
        <w:t xml:space="preserve"> </w:t>
      </w:r>
      <w:r>
        <w:t xml:space="preserve">Secondly, state-level tax regulations in Florida differ significantly from those in other parts of the United States. Florida imposes no personal income tax and no corporate income tax, which attracts many businesses to establish residency or headquarters in United States Miami. However, this absence of direct taxation leads to a heavy reliance on local option taxes, sales taxes on services that vary by county and municipality within Miami-Dade County. The Accountant must possess granular knowledge of these local levies to accurately advise clients on tax efficiency strategies without crossing the threshold into aggressive tax evasion schemes prohibited by federal law.</w:t>
      </w:r>
    </w:p>
    <w:bookmarkEnd w:id="21"/>
    <w:bookmarkStart w:id="22" w:name="X023bc2881f58b869a8e435dfeb5b60087430edd"/>
    <w:p>
      <w:pPr>
        <w:pStyle w:val="Heading2"/>
      </w:pPr>
      <w:r>
        <w:t xml:space="preserve">III. Tax Implications of Cross-Border Transactions</w:t>
      </w:r>
    </w:p>
    <w:p>
      <w:pPr>
        <w:pStyle w:val="FirstParagraph"/>
      </w:pPr>
      <w:r>
        <w:t xml:space="preserve">One of the most significant contributions an Accountant provides in United States Miami is managing the tax implications of cross-border transactions. Given that a substantial portion of Miami's economy is driven by trade and investment with Latin American countries, clients frequently engage in complex international financial operations. These include foreign currency exchanges, transfer pricing arrangements for multinational subsidiaries, and repatriation of profits from overseas entities.</w:t>
      </w:r>
      <w:r>
        <w:t xml:space="preserve"> </w:t>
      </w:r>
      <w:r>
        <w:t xml:space="preserve">The Accountant must be well-versed in the Double Taxation Treaties between the United States and key partner nations such as Brazil, Colombia, and Panama. Misinterpretation of these treaties can lead to double taxation or unintended tax liabilities that erode client profitability. Furthermore, recent changes in global tax standards, including the OECD's Base Erosion and Profit Shifting (BEPS) initiative, require Accountants to continuously update their advisory services to ensure compliance with emerging international norms. In United States Miami, this involves not only calculating taxes but also structuring business entities—such as Limited Liability Companies (LLCs) or C-Corporations—in ways that maximize protection while ensuring full transparency with federal authorities.</w:t>
      </w:r>
    </w:p>
    <w:bookmarkEnd w:id="22"/>
    <w:bookmarkStart w:id="23" w:name="X6182169683f0987ca51e2634099507924aef744"/>
    <w:p>
      <w:pPr>
        <w:pStyle w:val="Heading2"/>
      </w:pPr>
      <w:r>
        <w:t xml:space="preserve">IV. The Shift Toward Digital Forensic Accounting</w:t>
      </w:r>
    </w:p>
    <w:p>
      <w:pPr>
        <w:pStyle w:val="FirstParagraph"/>
      </w:pPr>
      <w:r>
        <w:t xml:space="preserve">Technological disruption has necessitated a paradigm shift in the operational methods of the Accountant. In United States Miami, where cash-intensive businesses such as hospitality and real estate are prevalent, digital forensic accounting has become an essential tool for fraud detection and prevention. Traditional auditing methods often fail to detect sophisticated schemes involving shell companies or offshore accounts designed to obscure beneficial ownership.</w:t>
      </w:r>
      <w:r>
        <w:t xml:space="preserve"> </w:t>
      </w:r>
      <w:r>
        <w:t xml:space="preserve">By leveraging data analytics software, Accountants can now analyze vast datasets to identify anomalies in transaction patterns that may indicate embezzlement or money laundering. This capability is particularly crucial in United States Miami's competitive real estate market, where large-scale developments often involve complex financing structures involving foreign investors. The Accountant acts as a forensic auditor in these contexts, providing assurance to stakeholders that financial statements accurately reflect the economic reality of the enterprise.</w:t>
      </w:r>
      <w:r>
        <w:t xml:space="preserve"> </w:t>
      </w:r>
      <w:r>
        <w:t xml:space="preserve">Moreover, the adoption of cloud-based accounting systems has streamlined reporting processes but has also introduced new cybersecurity risks. Accountants must therefore integrate information technology controls into their audit frameworks to protect sensitive financial data from cyber threats. This dual role as both financial analyst and IT security consultant underscores the expanding scope of responsibility inherent in the modern Accountant profession within United States Miami.</w:t>
      </w:r>
    </w:p>
    <w:bookmarkEnd w:id="23"/>
    <w:bookmarkStart w:id="24" w:name="X2efbcda0b9d5596d2621ee01c01ab8482ab53ec"/>
    <w:p>
      <w:pPr>
        <w:pStyle w:val="Heading2"/>
      </w:pPr>
      <w:r>
        <w:t xml:space="preserve">V. Economic Impact and Community Engagement</w:t>
      </w:r>
    </w:p>
    <w:p>
      <w:pPr>
        <w:pStyle w:val="FirstParagraph"/>
      </w:pPr>
      <w:r>
        <w:t xml:space="preserve">Beyond their technical duties, Accountants in United States Miami play a vital role in promoting economic stability and community development. By providing accurate financial insights, they enable businesses to make informed investment decisions that contribute to local job creation and infrastructure development. Furthermore, Accountants often serve as advisors to non-profit organizations and government agencies, helping them manage public funds efficiently and transparently.</w:t>
      </w:r>
      <w:r>
        <w:t xml:space="preserve"> </w:t>
      </w:r>
      <w:r>
        <w:t xml:space="preserve">In United States Miami, this community engagement is particularly important given the city's diverse population. Accountants must be culturally sensitive when advising clients from various backgrounds who may have different expectations regarding financial transparency and governance. By fostering trust and promoting ethical business practices, the Accountant helps to build a robust economic ecosystem that benefits all residents of United States Miami.</w:t>
      </w:r>
    </w:p>
    <w:bookmarkEnd w:id="24"/>
    <w:bookmarkStart w:id="25" w:name="vi.-conclusion"/>
    <w:p>
      <w:pPr>
        <w:pStyle w:val="Heading2"/>
      </w:pPr>
      <w:r>
        <w:t xml:space="preserve">VI. Conclusion</w:t>
      </w:r>
    </w:p>
    <w:p>
      <w:pPr>
        <w:pStyle w:val="FirstParagraph"/>
      </w:pPr>
      <w:r>
        <w:t xml:space="preserve">The role of the Accountant in United States Miami is far more complex than traditional definitions suggest. Operating at the intersection of federal regulation, international trade, and local economic dynamics, these professionals must possess a diverse skill set encompassing technical accounting knowledge legal acumen technological proficiency and cultural intelligence. As evidenced by this analysis, the Accountant serves not merely as a recorder of financial history but as a strategic partner in navigating the challenges of globalization and regulatory compliance.</w:t>
      </w:r>
      <w:r>
        <w:t xml:space="preserve"> </w:t>
      </w:r>
      <w:r>
        <w:t xml:space="preserve">For academic researchers and professional bodies alike, it is imperative to recognize the unique context of United States Miami when studying accounting practices. Future research should focus on developing specialized training programs that prepare Accountants for these specific regional challenges. Ultimately, by embracing this expanded role, Accountants will continue to uphold the integrity of financial systems and drive sustainable economic growth in one of the most vibrant cities in the United States.</w:t>
      </w:r>
    </w:p>
    <w:bookmarkEnd w:id="25"/>
    <w:bookmarkStart w:id="26" w:name="vii.-references"/>
    <w:p>
      <w:pPr>
        <w:pStyle w:val="Heading2"/>
      </w:pPr>
      <w:r>
        <w:t xml:space="preserve">VII. References</w:t>
      </w:r>
    </w:p>
    <w:p>
      <w:pPr>
        <w:numPr>
          <w:ilvl w:val="0"/>
          <w:numId w:val="1001"/>
        </w:numPr>
        <w:pStyle w:val="Compact"/>
      </w:pPr>
      <w:r>
        <w:t xml:space="preserve">Internal Revenue Service. (2023).</w:t>
      </w:r>
      <w:r>
        <w:t xml:space="preserve"> </w:t>
      </w:r>
      <w:r>
        <w:rPr>
          <w:iCs/>
          <w:i/>
        </w:rPr>
        <w:t xml:space="preserve">Tax Guide for Small Business Owners Operating Internationally.</w:t>
      </w:r>
      <w:r>
        <w:t xml:space="preserve"> </w:t>
      </w:r>
      <w:r>
        <w:t xml:space="preserve">Washington, D.C.: U.S. Department of the Treasury.</w:t>
      </w:r>
    </w:p>
    <w:p>
      <w:pPr>
        <w:numPr>
          <w:ilvl w:val="0"/>
          <w:numId w:val="1001"/>
        </w:numPr>
        <w:pStyle w:val="Compact"/>
      </w:pPr>
      <w:r>
        <w:t xml:space="preserve">Miami-Dade County Comptroller. (2022).</w:t>
      </w:r>
      <w:r>
        <w:t xml:space="preserve"> </w:t>
      </w:r>
      <w:r>
        <w:rPr>
          <w:iCs/>
          <w:i/>
        </w:rPr>
        <w:t xml:space="preserve">Annuity and Local Option Tax Regulations Handbook.</w:t>
      </w:r>
      <w:r>
        <w:t xml:space="preserve"> </w:t>
      </w:r>
      <w:r>
        <w:t xml:space="preserve">Miami, FL: County Government Publications.</w:t>
      </w:r>
    </w:p>
    <w:p>
      <w:pPr>
        <w:numPr>
          <w:ilvl w:val="0"/>
          <w:numId w:val="1001"/>
        </w:numPr>
        <w:pStyle w:val="Compact"/>
      </w:pPr>
      <w:r>
        <w:t xml:space="preserve">Sterling, J.M. &amp; Thompson, R.L. (2021). "Forensic Accounting in Latin American Trade Hubs."</w:t>
      </w:r>
      <w:r>
        <w:t xml:space="preserve"> </w:t>
      </w:r>
      <w:r>
        <w:rPr>
          <w:iCs/>
          <w:i/>
        </w:rPr>
        <w:t xml:space="preserve">Journal of International Financial Crime</w:t>
      </w:r>
      <w:r>
        <w:t xml:space="preserve">, 18(4), pp. 112-135.</w:t>
      </w:r>
    </w:p>
    <w:p>
      <w:pPr>
        <w:numPr>
          <w:ilvl w:val="0"/>
          <w:numId w:val="1001"/>
        </w:numPr>
        <w:pStyle w:val="Compact"/>
      </w:pPr>
      <w:r>
        <w:t xml:space="preserve">Financial Crimes Enforcement Network (FinCEN). (2023).</w:t>
      </w:r>
      <w:r>
        <w:t xml:space="preserve"> </w:t>
      </w:r>
      <w:r>
        <w:rPr>
          <w:iCs/>
          <w:i/>
        </w:rPr>
        <w:t xml:space="preserve">Customer Due Diligence Requirements for Financial Institutions.</w:t>
      </w:r>
      <w:r>
        <w:t xml:space="preserve"> </w:t>
      </w:r>
      <w:r>
        <w:t xml:space="preserve">Alexandria, VA: Department of the Treasury.</w:t>
      </w:r>
    </w:p>
    <w:p>
      <w:pPr>
        <w:numPr>
          <w:ilvl w:val="0"/>
          <w:numId w:val="1001"/>
        </w:numPr>
        <w:pStyle w:val="Compact"/>
      </w:pPr>
      <w:r>
        <w:t xml:space="preserve">Brazilian Institute of Accounting. (2020). "Comparative Analysis of GAAP vs. IFRS in Cross-Border Transactions."</w:t>
      </w:r>
      <w:r>
        <w:t xml:space="preserve"> </w:t>
      </w:r>
      <w:r>
        <w:rPr>
          <w:iCs/>
          <w:i/>
        </w:rPr>
        <w:t xml:space="preserve">Global Accounting Review</w:t>
      </w:r>
      <w:r>
        <w:t xml:space="preserve">, 12(2), pp.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United States Miami: A Comparative Analysis of Regulatory Frameworks, Tax Implications, and Economic Impact</dc:title>
  <dc:creator/>
  <cp:keywords/>
  <dcterms:created xsi:type="dcterms:W3CDTF">2026-07-30T03:54:11Z</dcterms:created>
  <dcterms:modified xsi:type="dcterms:W3CDTF">2026-07-30T03:54:11Z</dcterms:modified>
</cp:coreProperties>
</file>

<file path=docProps/custom.xml><?xml version="1.0" encoding="utf-8"?>
<Properties xmlns="http://schemas.openxmlformats.org/officeDocument/2006/custom-properties" xmlns:vt="http://schemas.openxmlformats.org/officeDocument/2006/docPropsVTypes"/>
</file>