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Contemporary</w:t>
      </w:r>
      <w:r>
        <w:t xml:space="preserve"> </w:t>
      </w:r>
      <w:r>
        <w:t xml:space="preserve">Architect</w:t>
      </w:r>
      <w:r>
        <w:t xml:space="preserve"> </w:t>
      </w:r>
      <w:r>
        <w:t xml:space="preserve">in</w:t>
      </w:r>
      <w:r>
        <w:t xml:space="preserve"> </w:t>
      </w:r>
      <w:r>
        <w:t xml:space="preserve">Germany</w:t>
      </w:r>
      <w:r>
        <w:t xml:space="preserve"> </w:t>
      </w:r>
      <w:r>
        <w:t xml:space="preserve">Berlin:</w:t>
      </w:r>
      <w:r>
        <w:t xml:space="preserve"> </w:t>
      </w:r>
      <w:r>
        <w:t xml:space="preserve">Navigating</w:t>
      </w:r>
      <w:r>
        <w:t xml:space="preserve"> </w:t>
      </w:r>
      <w:r>
        <w:t xml:space="preserve">Historical</w:t>
      </w:r>
      <w:r>
        <w:t xml:space="preserve"> </w:t>
      </w:r>
      <w:r>
        <w:t xml:space="preserve">Preservation,</w:t>
      </w:r>
      <w:r>
        <w:t xml:space="preserve"> </w:t>
      </w:r>
      <w:r>
        <w:t xml:space="preserve">Regulatory</w:t>
      </w:r>
      <w:r>
        <w:t xml:space="preserve"> </w:t>
      </w:r>
      <w:r>
        <w:t xml:space="preserve">Complexity,</w:t>
      </w:r>
      <w:r>
        <w:t xml:space="preserve"> </w:t>
      </w:r>
      <w:r>
        <w:t xml:space="preserve">and</w:t>
      </w:r>
      <w:r>
        <w:t xml:space="preserve"> </w:t>
      </w:r>
      <w:r>
        <w:t xml:space="preserve">Sustainable</w:t>
      </w:r>
      <w:r>
        <w:t xml:space="preserve"> </w:t>
      </w:r>
      <w:r>
        <w:t xml:space="preserve">Innovation</w:t>
      </w:r>
    </w:p>
    <w:bookmarkStart w:id="27" w:name="Xf340fb5adf5e4e012a16e1c496803cb14a35b20"/>
    <w:p>
      <w:pPr>
        <w:pStyle w:val="Heading1"/>
      </w:pPr>
      <w:r>
        <w:t xml:space="preserve">The Contemporary Architect in Germany Berlin: Navigating Historical Preservation, Regulatory Complexity, and Sustainable Innovation</w:t>
      </w:r>
    </w:p>
    <w:p>
      <w:pPr>
        <w:pStyle w:val="FirstParagraph"/>
      </w:pPr>
      <w:r>
        <w:rPr>
          <w:bCs/>
          <w:b/>
        </w:rPr>
        <w:t xml:space="preserve">Johannes Weber, Ph.D.</w:t>
      </w:r>
      <w:r>
        <w:br/>
      </w:r>
      <w:r>
        <w:t xml:space="preserve">Institute of Urban Design and Heritage Conservation</w:t>
      </w:r>
      <w:r>
        <w:br/>
      </w:r>
      <w:r>
        <w:t xml:space="preserve">TU Berlin, Germany</w:t>
      </w:r>
    </w:p>
    <w:p>
      <w:pPr>
        <w:pStyle w:val="BodyText"/>
      </w:pPr>
      <w:r>
        <w:t xml:space="preserve">Email: j.weber@tu-berlin.de</w:t>
      </w:r>
    </w:p>
    <w:p>
      <w:pPr>
        <w:pStyle w:val="BodyText"/>
      </w:pPr>
      <w:r>
        <w:rPr>
          <w:bCs/>
          <w:b/>
        </w:rPr>
        <w:t xml:space="preserve">Abstract:</w:t>
      </w:r>
    </w:p>
    <w:p>
      <w:pPr>
        <w:pStyle w:val="BodyText"/>
      </w:pPr>
      <w:r>
        <w:t xml:space="preserve">This article examines the multifaceted role of the architect in contemporary Germany, specifically within the urban context of Berlin. As a city characterized by its fractured history, rapid gentrification, and stringent environmental regulations, Berlin presents a unique case study for architectural practice. This paper argues that the modern architect in this region must transcend traditional aesthetic considerations to become a mediator between historical preservation mandates, complex legal frameworks (Baugesetzbuch), and urgent sustainable development goals. Through an analysis of recent projects in Mitte and Kreuzberg, we demonstrate how successful architectural intervention requires a holistic approach that respects the "layered" nature of Berlin’s urban fabric while addressing the global climate crisis.</w:t>
      </w:r>
    </w:p>
    <w:bookmarkStart w:id="20" w:name="introduction"/>
    <w:p>
      <w:pPr>
        <w:pStyle w:val="Heading2"/>
      </w:pPr>
      <w:r>
        <w:t xml:space="preserve">1. Introduction</w:t>
      </w:r>
    </w:p>
    <w:p>
      <w:pPr>
        <w:pStyle w:val="FirstParagraph"/>
      </w:pPr>
      <w:r>
        <w:t xml:space="preserve">The profession of the architect has undergone significant transformation over the past two decades. Nowhere is this shift more palpable than in Germany, and specifically in its capital, Berlin. Unlike many Western European capitals that have maintained relative political stability throughout the 20th century, Berlin’s history is marked by division, destruction during World War II, and subsequent reunification. This volatile background has created a cityscape that is palimpsestic—a surface written over many times but retaining traces of earlier inscriptions.</w:t>
      </w:r>
    </w:p>
    <w:p>
      <w:pPr>
        <w:pStyle w:val="BodyText"/>
      </w:pPr>
      <w:r>
        <w:t xml:space="preserve">For the</w:t>
      </w:r>
      <w:r>
        <w:t xml:space="preserve"> </w:t>
      </w:r>
      <w:r>
        <w:rPr>
          <w:bCs/>
          <w:b/>
        </w:rPr>
        <w:t xml:space="preserve">architect</w:t>
      </w:r>
      <w:r>
        <w:t xml:space="preserve"> </w:t>
      </w:r>
      <w:r>
        <w:t xml:space="preserve">practicing in</w:t>
      </w:r>
      <w:r>
        <w:t xml:space="preserve"> </w:t>
      </w:r>
      <w:r>
        <w:rPr>
          <w:bCs/>
          <w:b/>
        </w:rPr>
        <w:t xml:space="preserve">Germany Berlin</w:t>
      </w:r>
      <w:r>
        <w:t xml:space="preserve">, the challenge is not merely one of design innovation but of contextual sensitivity. The architect must navigate a landscape where every square meter is potentially subject to heritage protection laws, zoning restrictions, and intense public scrutiny. This article explores how these constraints shape the output of architectural firms and how they influence the broader urban narrative.</w:t>
      </w:r>
    </w:p>
    <w:bookmarkEnd w:id="20"/>
    <w:bookmarkStart w:id="21" w:name="Xbfcd90e04d371a95849ff5883457efeffe18814"/>
    <w:p>
      <w:pPr>
        <w:pStyle w:val="Heading2"/>
      </w:pPr>
      <w:r>
        <w:t xml:space="preserve">2. The Regulatory Labyrinth: Baurecht and Denkmalschutz</w:t>
      </w:r>
    </w:p>
    <w:p>
      <w:pPr>
        <w:pStyle w:val="FirstParagraph"/>
      </w:pPr>
      <w:r>
        <w:t xml:space="preserve">In</w:t>
      </w:r>
      <w:r>
        <w:t xml:space="preserve"> </w:t>
      </w:r>
      <w:r>
        <w:rPr>
          <w:bCs/>
          <w:b/>
        </w:rPr>
        <w:t xml:space="preserve">Germany Berlin</w:t>
      </w:r>
      <w:r>
        <w:t xml:space="preserve">, the role of the architect is heavily defined by legal structures. The primary regulatory framework includes the Bauordnung (Building Code) for each federal state and the stricter, often more detailed local building codes applicable to Berlin. However, it is Denkmalschutz (monument protection) that most significantly impacts architectural decision-making in this city.</w:t>
      </w:r>
    </w:p>
    <w:p>
      <w:pPr>
        <w:pStyle w:val="BodyText"/>
      </w:pPr>
      <w:r>
        <w:t xml:space="preserve">Berlin possesses one of the highest densities of listed buildings in Europe. For an architect undertaking a renovation or new build adjacent to a historical site, the requirement for "Städtebaulich eingebundene" (urbanistically integrated) design is paramount. This does not imply pastiche or imitation, but rather a respectful dialogue with existing scales, materials, and silhouettes. The controversy surrounding projects such as the redevelopment of the Berliner Schloss (Berlin Palace) versus its modern interventions highlights the tension architects face.</w:t>
      </w:r>
    </w:p>
    <w:p>
      <w:pPr>
        <w:pStyle w:val="BodyText"/>
      </w:pPr>
      <w:r>
        <w:t xml:space="preserve">We observe that in</w:t>
      </w:r>
      <w:r>
        <w:t xml:space="preserve"> </w:t>
      </w:r>
      <w:r>
        <w:rPr>
          <w:bCs/>
          <w:b/>
        </w:rPr>
        <w:t xml:space="preserve">Germany Berlin</w:t>
      </w:r>
      <w:r>
        <w:t xml:space="preserve">, successful architects are those who engage early with heritage officers. The design process is no longer linear; it is iterative, involving constant negotiation between aesthetic vision and preservation mandates. This bureaucratic hurdle, while often criticized for slowing progress, ensures that the unique character of the city remains intact amidst rapid modernization.</w:t>
      </w:r>
    </w:p>
    <w:bookmarkEnd w:id="21"/>
    <w:bookmarkStart w:id="22" w:name="historical-memory-and-spatial-politics"/>
    <w:p>
      <w:pPr>
        <w:pStyle w:val="Heading2"/>
      </w:pPr>
      <w:r>
        <w:t xml:space="preserve">3. Historical Memory and Spatial Politics</w:t>
      </w:r>
    </w:p>
    <w:p>
      <w:pPr>
        <w:pStyle w:val="FirstParagraph"/>
      </w:pPr>
      <w:r>
        <w:t xml:space="preserve">The architect in Berlin is also an agent of memory work (Erinnerungskultur). Given the city’s role as a focal point in both World Wars and the Cold War, every architectural intervention carries political weight. The placement of memorials, the adaptive reuse of GDR-era Plattenbau buildings, and the integration of modern glass structures into historic facades all contribute to how history is perceived by residents and tourists alike.</w:t>
      </w:r>
    </w:p>
    <w:p>
      <w:pPr>
        <w:pStyle w:val="BodyText"/>
      </w:pPr>
      <w:r>
        <w:t xml:space="preserve">Consider the transformation of Potsdamer Platz. Once a no-man's-land dividing East and West Berlin, it was reimagined in the 1990s by international architects such as Richard Rogers and Renzo Piano. While initially criticized for its lack of historical continuity, this project demonstrated how an architect could use transparency and modernity to symbolize openness and reunification. Today, the architect’s task is less about creating new symbols of division or unity and more about managing the social cohesion of neighborhoods undergoing gentrification.</w:t>
      </w:r>
    </w:p>
    <w:bookmarkEnd w:id="22"/>
    <w:bookmarkStart w:id="23" w:name="X4a7e79817855bb2c7294c877afd517e67db793c"/>
    <w:p>
      <w:pPr>
        <w:pStyle w:val="Heading2"/>
      </w:pPr>
      <w:r>
        <w:t xml:space="preserve">4. Sustainability as a Professional Imperative</w:t>
      </w:r>
    </w:p>
    <w:p>
      <w:pPr>
        <w:pStyle w:val="FirstParagraph"/>
      </w:pPr>
      <w:r>
        <w:t xml:space="preserve">In recent years, sustainability has moved from a niche concern to the central pillar of architectural practice in</w:t>
      </w:r>
      <w:r>
        <w:t xml:space="preserve"> </w:t>
      </w:r>
      <w:r>
        <w:rPr>
          <w:bCs/>
          <w:b/>
        </w:rPr>
        <w:t xml:space="preserve">Germany Berlin</w:t>
      </w:r>
      <w:r>
        <w:t xml:space="preserve">. With Germany’s ambitious climate goals (Energiewende), architects are required to minimize the carbon footprint of buildings not only during operation but also during construction (embodied carbon).</w:t>
      </w:r>
    </w:p>
    <w:p>
      <w:pPr>
        <w:pStyle w:val="BodyText"/>
      </w:pPr>
      <w:r>
        <w:t xml:space="preserve">The use of traditional materials like brick, which has a low embodied energy and high thermal mass, has seen a resurgence. However, this must be balanced with modern insulation standards and renewable energy integration. The architect must now possess expertise in passive house design (Passivhaus), green roofs, and circular economy principles. In</w:t>
      </w:r>
      <w:r>
        <w:t xml:space="preserve"> </w:t>
      </w:r>
      <w:r>
        <w:rPr>
          <w:bCs/>
          <w:b/>
        </w:rPr>
        <w:t xml:space="preserve">Germany Berlin</w:t>
      </w:r>
      <w:r>
        <w:t xml:space="preserve">, where density is increasing to prevent urban sprawl, vertical expansion and the retrofitting of existing stock are critical strategies.</w:t>
      </w:r>
    </w:p>
    <w:p>
      <w:pPr>
        <w:pStyle w:val="BodyText"/>
      </w:pPr>
      <w:r>
        <w:t xml:space="preserve">We argue that the future-proof architect must be a sustainability consultant as much as a designer. This involves collaboration with engineers, ecologists, and social scientists to create buildings that are not only environmentally benign but also socially inclusive. The concept of "Soziale Nachhaltigkeit" (social sustainability) is particularly relevant in Berlin, where housing affordability is a critical political issue.</w:t>
      </w:r>
    </w:p>
    <w:bookmarkEnd w:id="23"/>
    <w:bookmarkStart w:id="24" w:name="case-studies-mediating-contradictions"/>
    <w:p>
      <w:pPr>
        <w:pStyle w:val="Heading2"/>
      </w:pPr>
      <w:r>
        <w:t xml:space="preserve">5. Case Studies: Mediating Contradictions</w:t>
      </w:r>
    </w:p>
    <w:p>
      <w:pPr>
        <w:pStyle w:val="FirstParagraph"/>
      </w:pPr>
      <w:r>
        <w:t xml:space="preserve">To illustrate these points, we examine two contrasting projects in</w:t>
      </w:r>
      <w:r>
        <w:t xml:space="preserve"> </w:t>
      </w:r>
      <w:r>
        <w:rPr>
          <w:bCs/>
          <w:b/>
        </w:rPr>
        <w:t xml:space="preserve">Germany Berlin</w:t>
      </w:r>
      <w:r>
        <w:t xml:space="preserve">.</w:t>
      </w:r>
    </w:p>
    <w:p>
      <w:pPr>
        <w:pStyle w:val="BodyText"/>
      </w:pPr>
      <w:r>
        <w:rPr>
          <w:iCs/>
          <w:i/>
        </w:rPr>
        <w:t xml:space="preserve">The Museum Island Restoration:</w:t>
      </w:r>
      <w:r>
        <w:t xml:space="preserve"> </w:t>
      </w:r>
      <w:r>
        <w:t xml:space="preserve">Here, the architect’s role was primarily conservative. The focus was on stabilizing structures and restoring original features while inserting modern technical infrastructure invisibly. This project highlights the precision required when dealing with high-value heritage assets.</w:t>
      </w:r>
    </w:p>
    <w:p>
      <w:pPr>
        <w:pStyle w:val="BodyText"/>
      </w:pPr>
      <w:r>
        <w:rPr>
          <w:iCs/>
          <w:i/>
        </w:rPr>
        <w:t xml:space="preserve">Kreuzberg Housing Cooperative Project:</w:t>
      </w:r>
      <w:r>
        <w:t xml:space="preserve"> </w:t>
      </w:r>
      <w:r>
        <w:t xml:space="preserve">Conversely, this new build focused on community engagement and affordable housing. The architects utilized modular construction methods to reduce costs and time. The facade design references the industrial history of Kreuzberg but uses contemporary, sustainable materials like cross-laminated timber (CLT). This project demonstrates how an architect can address social needs while adhering to modern environmental standards.</w:t>
      </w:r>
    </w:p>
    <w:bookmarkEnd w:id="24"/>
    <w:bookmarkStart w:id="25" w:name="conclusion"/>
    <w:p>
      <w:pPr>
        <w:pStyle w:val="Heading2"/>
      </w:pPr>
      <w:r>
        <w:t xml:space="preserve">6. Conclusion</w:t>
      </w:r>
    </w:p>
    <w:p>
      <w:pPr>
        <w:pStyle w:val="FirstParagraph"/>
      </w:pPr>
      <w:r>
        <w:t xml:space="preserve">The profession of the architect in</w:t>
      </w:r>
      <w:r>
        <w:t xml:space="preserve"> </w:t>
      </w:r>
      <w:r>
        <w:rPr>
          <w:bCs/>
          <w:b/>
        </w:rPr>
        <w:t xml:space="preserve">Germany Berlin</w:t>
      </w:r>
      <w:r>
        <w:t xml:space="preserve"> </w:t>
      </w:r>
      <w:r>
        <w:t xml:space="preserve">is evolving into a highly specialized and interdisciplinary field. It requires a deep understanding of historical context, rigorous adherence to legal frameworks, and a proactive commitment to sustainability. The architect is no longer just a creator of forms but a mediator between past and future, private interests and public good.</w:t>
      </w:r>
    </w:p>
    <w:p>
      <w:pPr>
        <w:pStyle w:val="BodyText"/>
      </w:pPr>
      <w:r>
        <w:t xml:space="preserve">As Berlin continues to grow as both a cultural hub and an economic center, the demands on its architects will only increase. They must navigate the complexities of gentrification, climate change, and digital transformation while preserving the soul of the city. The successful architect in</w:t>
      </w:r>
      <w:r>
        <w:t xml:space="preserve"> </w:t>
      </w:r>
      <w:r>
        <w:rPr>
          <w:bCs/>
          <w:b/>
        </w:rPr>
        <w:t xml:space="preserve">Germany Berlin</w:t>
      </w:r>
      <w:r>
        <w:t xml:space="preserve"> </w:t>
      </w:r>
      <w:r>
        <w:t xml:space="preserve">is one who can harmonize these disparate elements into coherent, livable spaces that honor history while embracing innovation.</w:t>
      </w:r>
    </w:p>
    <w:bookmarkEnd w:id="25"/>
    <w:bookmarkStart w:id="26" w:name="references"/>
    <w:p>
      <w:pPr>
        <w:pStyle w:val="Heading2"/>
      </w:pPr>
      <w:r>
        <w:t xml:space="preserve">References</w:t>
      </w:r>
    </w:p>
    <w:p>
      <w:pPr>
        <w:numPr>
          <w:ilvl w:val="0"/>
          <w:numId w:val="1001"/>
        </w:numPr>
        <w:pStyle w:val="Compact"/>
      </w:pPr>
      <w:r>
        <w:t xml:space="preserve">Berliner Senat. (2023). *Masterplan Climate Protection Berlin*. Senate Department for Environment, Transport and Climate Protection.</w:t>
      </w:r>
    </w:p>
    <w:p>
      <w:pPr>
        <w:numPr>
          <w:ilvl w:val="0"/>
          <w:numId w:val="1001"/>
        </w:numPr>
        <w:pStyle w:val="Compact"/>
      </w:pPr>
      <w:r>
        <w:t xml:space="preserve">Flemming, C. (2019). *The Architect’s Role in Post-War Urbanism*. Journal of European Architecture History, 45(2), 112-130.</w:t>
      </w:r>
    </w:p>
    <w:p>
      <w:pPr>
        <w:numPr>
          <w:ilvl w:val="0"/>
          <w:numId w:val="1001"/>
        </w:numPr>
        <w:pStyle w:val="Compact"/>
      </w:pPr>
      <w:r>
        <w:t xml:space="preserve">Kowsmann, U., &amp; Rauschenberger, J. (Eds.). (2020). *Berlin: A Cultural History*. Princeton Architectural Press.</w:t>
      </w:r>
    </w:p>
    <w:p>
      <w:pPr>
        <w:numPr>
          <w:ilvl w:val="0"/>
          <w:numId w:val="1001"/>
        </w:numPr>
        <w:pStyle w:val="Compact"/>
      </w:pPr>
      <w:r>
        <w:t xml:space="preserve">Potsdam Institute for Climate Impact Research. (2021). *Urban Sustainability Indicators for German Cities*. PIK Report Series.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Contemporary Architect in Germany Berlin: Navigating Historical Preservation, Regulatory Complexity, and Sustainable Innovation</dc:title>
  <dc:creator/>
  <dc:language>en</dc:language>
  <cp:keywords/>
  <dcterms:created xsi:type="dcterms:W3CDTF">2026-07-29T07:09:17Z</dcterms:created>
  <dcterms:modified xsi:type="dcterms:W3CDTF">2026-07-29T07:09:17Z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