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Urbanism</w:t>
      </w:r>
      <w:r>
        <w:t xml:space="preserve"> </w:t>
      </w:r>
      <w:r>
        <w:t xml:space="preserve">in</w:t>
      </w:r>
      <w:r>
        <w:t xml:space="preserve"> </w:t>
      </w:r>
      <w:r>
        <w:t xml:space="preserve">India,</w:t>
      </w:r>
      <w:r>
        <w:t xml:space="preserve"> </w:t>
      </w:r>
      <w:r>
        <w:t xml:space="preserve">Bangalore</w:t>
      </w:r>
    </w:p>
    <w:bookmarkStart w:id="30" w:name="X2052cf12bb1d93f0fb9c802644a115aa39fdfd0"/>
    <w:p>
      <w:pPr>
        <w:pStyle w:val="Heading1"/>
      </w:pPr>
      <w:r>
        <w:t xml:space="preserve">The Role of the Architect in Shaping Sustainable Urbanism in India, Bangalore: A Critical Analysis</w:t>
      </w:r>
    </w:p>
    <w:p>
      <w:pPr>
        <w:pStyle w:val="FirstParagraph"/>
      </w:pPr>
      <w:r>
        <w:rPr>
          <w:iCs/>
          <w:i/>
          <w:bCs/>
          <w:b/>
        </w:rPr>
        <w:t xml:space="preserve">J. R. Venkatesh, M.Arch., Ph.D.</w:t>
      </w:r>
      <w:r>
        <w:br/>
      </w:r>
      <w:r>
        <w:t xml:space="preserve">Department of Architecture and Urban Planning</w:t>
      </w:r>
      <w:r>
        <w:br/>
      </w:r>
      <w:r>
        <w:t xml:space="preserve">Indian Institute of Science, Bangalore</w:t>
      </w:r>
      <w:r>
        <w:br/>
      </w:r>
      <w:r>
        <w:t xml:space="preserve">Email: jvenkatesh@arch.iisc.ac.in</w:t>
      </w:r>
    </w:p>
    <w:p>
      <w:pPr>
        <w:pStyle w:val="BodyText"/>
      </w:pPr>
      <w:r>
        <w:rPr>
          <w:iCs/>
          <w:i/>
          <w:bCs/>
          <w:b/>
        </w:rPr>
        <w:t xml:space="preserve">Abstract:</w:t>
      </w:r>
      <w:r>
        <w:t xml:space="preserve"> </w:t>
      </w:r>
      <w:r>
        <w:t xml:space="preserve">This paper examines the evolving role of the</w:t>
      </w:r>
      <w:r>
        <w:t xml:space="preserve"> </w:t>
      </w:r>
      <w:r>
        <w:rPr>
          <w:bCs/>
          <w:b/>
        </w:rPr>
        <w:t xml:space="preserve">A</w:t>
      </w:r>
      <w:r>
        <w:rPr>
          <w:iCs/>
          <w:i/>
          <w:bCs/>
          <w:b/>
        </w:rPr>
        <w:t xml:space="preserve">r</w:t>
      </w:r>
      <w:r>
        <w:rPr>
          <w:bCs/>
          <w:b/>
        </w:rPr>
        <w:t xml:space="preserve">citect</w:t>
      </w:r>
      <w:r>
        <w:t xml:space="preserve">Architect</w:t>
      </w:r>
    </w:p>
    <w:bookmarkStart w:id="20" w:name="introduction"/>
    <w:p>
      <w:pPr>
        <w:pStyle w:val="Heading2"/>
      </w:pPr>
      <w:r>
        <w:t xml:space="preserve">1. Introduction</w:t>
      </w:r>
    </w:p>
    <w:p>
      <w:pPr>
        <w:pStyle w:val="FirstParagraph"/>
      </w:pPr>
      <w:r>
        <w:t xml:space="preserve">The urban landscape of</w:t>
      </w:r>
      <w:r>
        <w:t xml:space="preserve"> </w:t>
      </w:r>
      <w:r>
        <w:rPr>
          <w:iCs/>
          <w:i/>
          <w:bCs/>
          <w:b/>
        </w:rPr>
        <w:t xml:space="preserve">I</w:t>
      </w:r>
      <w:r>
        <w:rPr>
          <w:iCs/>
          <w:i/>
          <w:iCs/>
          <w:i/>
          <w:bCs/>
          <w:b/>
        </w:rPr>
        <w:t xml:space="preserve">n</w:t>
      </w:r>
      <w:r>
        <w:rPr>
          <w:vertAlign w:val="subscript"/>
          <w:iCs/>
          <w:i/>
          <w:iCs/>
          <w:i/>
          <w:bCs/>
          <w:b/>
        </w:rPr>
        <w:t xml:space="preserve">dia B</w:t>
      </w:r>
      <w:r>
        <w:rPr>
          <w:iCs/>
          <w:i/>
          <w:vertAlign w:val="subscript"/>
          <w:iCs/>
          <w:i/>
          <w:iCs/>
          <w:i/>
          <w:bCs/>
          <w:b/>
        </w:rPr>
        <w:t xml:space="preserve">a</w:t>
      </w:r>
      <w:r>
        <w:rPr>
          <w:iCs/>
          <w:i/>
          <w:iCs/>
          <w:i/>
          <w:vertAlign w:val="subscript"/>
          <w:iCs/>
          <w:i/>
          <w:iCs/>
          <w:i/>
          <w:bCs/>
          <w:b/>
        </w:rPr>
        <w:t xml:space="preserve">n</w:t>
      </w:r>
      <w:r>
        <w:rPr>
          <w:vertAlign w:val="subscript"/>
          <w:iCs/>
          <w:i/>
          <w:iCs/>
          <w:i/>
          <w:vertAlign w:val="subscript"/>
          <w:iCs/>
          <w:i/>
          <w:iCs/>
          <w:i/>
          <w:bCs/>
          <w:b/>
        </w:rPr>
        <w:t xml:space="preserve">a</w:t>
      </w:r>
      <w:r>
        <w:rPr>
          <w:iCs/>
          <w:i/>
          <w:vertAlign w:val="subscript"/>
          <w:iCs/>
          <w:i/>
          <w:iCs/>
          <w:i/>
          <w:vertAlign w:val="subscript"/>
          <w:iCs/>
          <w:i/>
          <w:iCs/>
          <w:i/>
          <w:bCs/>
          <w:b/>
        </w:rPr>
        <w:t xml:space="preserve">r</w:t>
      </w:r>
      <w:r>
        <w:rPr>
          <w:bCs/>
          <w:b/>
          <w:iCs/>
          <w:i/>
          <w:vertAlign w:val="subscript"/>
          <w:iCs/>
          <w:i/>
          <w:iCs/>
          <w:i/>
          <w:vertAlign w:val="subscript"/>
          <w:iCs/>
          <w:i/>
          <w:iCs/>
          <w:i/>
          <w:bCs/>
          <w:b/>
        </w:rPr>
        <w:t xml:space="preserve">e</w:t>
      </w:r>
      <w:r>
        <w:br/>
      </w:r>
      <w:r>
        <w:rPr>
          <w:vertAlign w:val="subscript"/>
          <w:iCs/>
          <w:i/>
          <w:iCs/>
          <w:i/>
          <w:vertAlign w:val="subscript"/>
          <w:iCs/>
          <w:i/>
          <w:iCs/>
          <w:i/>
          <w:bCs/>
          <w:b/>
        </w:rPr>
        <w:t xml:space="preserve">has undergone a metamorphosis over the past three decades. Historically known as the 'Garden City,' Bangalore has transformed into a global technology hub often referred to as the 'Silicon Valley of India.' This transformation, while economically beneficial, has placed immense pressure on urban infrastructure ecological systems and social fabrics. In this context understanding the role of the</w:t>
      </w:r>
      <w:r>
        <w:rPr>
          <w:vertAlign w:val="subscript"/>
          <w:iCs/>
          <w:i/>
          <w:iCs/>
          <w:i/>
          <w:vertAlign w:val="subscript"/>
          <w:iCs/>
          <w:i/>
          <w:iCs/>
          <w:i/>
          <w:bCs/>
          <w:b/>
        </w:rPr>
        <w:t xml:space="preserve"> </w:t>
      </w:r>
      <w:r>
        <w:rPr>
          <w:bCs/>
          <w:b/>
          <w:vertAlign w:val="subscript"/>
          <w:iCs/>
          <w:i/>
          <w:iCs/>
          <w:i/>
          <w:vertAlign w:val="subscript"/>
          <w:iCs/>
          <w:i/>
          <w:iCs/>
          <w:i/>
          <w:bCs/>
          <w:b/>
        </w:rPr>
        <w:t xml:space="preserve">Architect</w:t>
      </w:r>
    </w:p>
    <w:p>
      <w:pPr>
        <w:pStyle w:val="BodyText"/>
      </w:pPr>
      <w:r>
        <w:t xml:space="preserve">In</w:t>
      </w:r>
      <w:r>
        <w:t xml:space="preserve"> </w:t>
      </w:r>
      <w:r>
        <w:rPr>
          <w:iCs/>
          <w:i/>
        </w:rPr>
        <w:t xml:space="preserve">I</w:t>
      </w:r>
      <w:r>
        <w:rPr>
          <w:vertAlign w:val="subscript"/>
          <w:iCs/>
          <w:i/>
        </w:rPr>
        <w:t xml:space="preserve">n</w:t>
      </w:r>
      <w:r>
        <w:rPr>
          <w:bCs/>
          <w:b/>
          <w:vertAlign w:val="subscript"/>
          <w:iCs/>
          <w:i/>
        </w:rPr>
        <w:t xml:space="preserve">dia B</w:t>
      </w:r>
      <w:r>
        <w:rPr>
          <w:iCs/>
          <w:i/>
          <w:bCs/>
          <w:b/>
          <w:vertAlign w:val="subscript"/>
          <w:iCs/>
          <w:i/>
        </w:rPr>
        <w:t xml:space="preserve">a</w:t>
      </w:r>
      <w:r>
        <w:rPr>
          <w:iCs/>
          <w:i/>
          <w:iCs/>
          <w:i/>
          <w:bCs/>
          <w:b/>
          <w:vertAlign w:val="subscript"/>
          <w:iCs/>
          <w:i/>
        </w:rPr>
        <w:t xml:space="preserve">r</w:t>
      </w:r>
      <w:r>
        <w:rPr>
          <w:bCs/>
          <w:b/>
          <w:iCs/>
          <w:i/>
          <w:iCs/>
          <w:i/>
          <w:bCs/>
          <w:b/>
          <w:vertAlign w:val="subscript"/>
          <w:iCs/>
          <w:i/>
        </w:rPr>
        <w:t xml:space="preserve">e</w:t>
      </w:r>
      <w:r>
        <w:br/>
      </w:r>
      <w:r>
        <w:rPr>
          <w:bCs/>
          <w:b/>
          <w:iCs/>
          <w:i/>
          <w:iCs/>
          <w:i/>
          <w:bCs/>
          <w:b/>
          <w:vertAlign w:val="subscript"/>
          <w:iCs/>
          <w:i/>
        </w:rPr>
        <w:t xml:space="preserve">urban planning regulations are often fragmented and enforcement mechanisms weak. This creates opportunities for architects to step beyond their conventional boundaries and engage with broader civic issues. The purpose of this article is to analyze how the architect can influence policy design and community interactions to create resilient urban environments in</w:t>
      </w:r>
      <w:r>
        <w:rPr>
          <w:bCs/>
          <w:b/>
          <w:iCs/>
          <w:i/>
          <w:iCs/>
          <w:i/>
          <w:bCs/>
          <w:b/>
          <w:vertAlign w:val="subscript"/>
          <w:iCs/>
          <w:i/>
        </w:rPr>
        <w:t xml:space="preserve"> </w:t>
      </w:r>
      <w:r>
        <w:rPr>
          <w:bCs/>
          <w:b/>
          <w:bCs/>
          <w:b/>
          <w:iCs/>
          <w:i/>
          <w:iCs/>
          <w:i/>
          <w:bCs/>
          <w:b/>
          <w:vertAlign w:val="subscript"/>
          <w:iCs/>
          <w:i/>
        </w:rPr>
        <w:t xml:space="preserve">I</w:t>
      </w:r>
      <w:r>
        <w:rPr>
          <w:iCs/>
          <w:i/>
          <w:bCs/>
          <w:b/>
          <w:bCs/>
          <w:b/>
          <w:iCs/>
          <w:i/>
          <w:iCs/>
          <w:i/>
          <w:bCs/>
          <w:b/>
          <w:vertAlign w:val="subscript"/>
          <w:iCs/>
          <w:i/>
        </w:rPr>
        <w:t xml:space="preserve">n</w:t>
      </w:r>
      <w:r>
        <w:rPr>
          <w:iCs/>
          <w:i/>
          <w:iCs/>
          <w:i/>
          <w:bCs/>
          <w:b/>
          <w:bCs/>
          <w:b/>
          <w:iCs/>
          <w:i/>
          <w:iCs/>
          <w:i/>
          <w:bCs/>
          <w:b/>
          <w:vertAlign w:val="subscript"/>
          <w:iCs/>
          <w:i/>
        </w:rPr>
        <w:t xml:space="preserve">dia B</w:t>
      </w:r>
      <w:r>
        <w:rPr>
          <w:iCs/>
          <w:i/>
          <w:iCs/>
          <w:i/>
          <w:iCs/>
          <w:i/>
          <w:bCs/>
          <w:b/>
          <w:bCs/>
          <w:b/>
          <w:iCs/>
          <w:i/>
          <w:iCs/>
          <w:i/>
          <w:bCs/>
          <w:b/>
          <w:vertAlign w:val="subscript"/>
          <w:iCs/>
          <w:i/>
        </w:rPr>
        <w:t xml:space="preserve">r</w:t>
      </w:r>
      <w:r>
        <w:rPr>
          <w:bCs/>
          <w:b/>
          <w:iCs/>
          <w:i/>
          <w:iCs/>
          <w:i/>
          <w:iCs/>
          <w:i/>
          <w:bCs/>
          <w:b/>
          <w:bCs/>
          <w:b/>
          <w:iCs/>
          <w:i/>
          <w:iCs/>
          <w:i/>
          <w:bCs/>
          <w:b/>
          <w:vertAlign w:val="subscript"/>
          <w:iCs/>
          <w:i/>
        </w:rPr>
        <w:t xml:space="preserve">e</w:t>
      </w:r>
      <w:r>
        <w:br/>
      </w:r>
    </w:p>
    <w:bookmarkEnd w:id="20"/>
    <w:bookmarkStart w:id="21" w:name="Xc2bcf123ca96ee8eeb68cee2c5a4737e7f0f993"/>
    <w:p>
      <w:pPr>
        <w:pStyle w:val="Heading2"/>
      </w:pPr>
      <w:r>
        <w:t xml:space="preserve">2. The Changing Paradigm of Architecture in Developing Economies</w:t>
      </w:r>
    </w:p>
    <w:p>
      <w:pPr>
        <w:pStyle w:val="FirstParagraph"/>
      </w:pPr>
      <w:r>
        <w:t xml:space="preserve">The role of the</w:t>
      </w:r>
      <w:r>
        <w:t xml:space="preserve"> </w:t>
      </w:r>
      <w:r>
        <w:rPr>
          <w:bCs/>
          <w:b/>
        </w:rPr>
        <w:t xml:space="preserve">A</w:t>
      </w:r>
      <w:r>
        <w:rPr>
          <w:iCs/>
          <w:i/>
          <w:bCs/>
          <w:b/>
        </w:rPr>
        <w:t xml:space="preserve">r</w:t>
      </w:r>
      <w:r>
        <w:rPr>
          <w:bCs/>
          <w:b/>
          <w:iCs/>
          <w:i/>
          <w:bCs/>
          <w:b/>
        </w:rPr>
        <w:t xml:space="preserve">c</w:t>
      </w:r>
      <w:r>
        <w:rPr>
          <w:iCs/>
          <w:i/>
          <w:bCs/>
          <w:b/>
          <w:iCs/>
          <w:i/>
          <w:bCs/>
          <w:b/>
        </w:rPr>
        <w:t xml:space="preserve">t</w:t>
      </w:r>
      <w:r>
        <w:rPr>
          <w:bCs/>
          <w:b/>
          <w:iCs/>
          <w:i/>
          <w:bCs/>
          <w:b/>
          <w:iCs/>
          <w:i/>
          <w:bCs/>
          <w:b/>
        </w:rPr>
        <w:t xml:space="preserve">e</w:t>
      </w:r>
      <w:r>
        <w:br/>
      </w:r>
      <w:r>
        <w:rPr>
          <w:bCs/>
          <w:b/>
          <w:iCs/>
          <w:i/>
          <w:bCs/>
          <w:b/>
          <w:iCs/>
          <w:i/>
          <w:bCs/>
          <w:b/>
        </w:rPr>
        <w:t xml:space="preserve">in developing countries like</w:t>
      </w:r>
      <w:r>
        <w:rPr>
          <w:bCs/>
          <w:b/>
          <w:iCs/>
          <w:i/>
          <w:bCs/>
          <w:b/>
          <w:iCs/>
          <w:i/>
          <w:bCs/>
          <w:b/>
        </w:rPr>
        <w:t xml:space="preserve"> </w:t>
      </w:r>
      <w:r>
        <w:rPr>
          <w:iCs/>
          <w:i/>
          <w:bCs/>
          <w:b/>
          <w:iCs/>
          <w:i/>
          <w:bCs/>
          <w:b/>
          <w:iCs/>
          <w:i/>
          <w:bCs/>
          <w:b/>
        </w:rPr>
        <w:t xml:space="preserve">Ii</w:t>
      </w:r>
      <w:r>
        <w:rPr>
          <w:iCs/>
          <w:i/>
          <w:bCs/>
          <w:b/>
          <w:iCs/>
          <w:i/>
          <w:bCs/>
          <w:b/>
          <w:iCs/>
          <w:i/>
          <w:bCs/>
          <w:b/>
        </w:rPr>
        <w:t xml:space="preserve">n</w:t>
      </w:r>
      <w:r>
        <w:rPr>
          <w:u w:val="single"/>
          <w:iCs/>
          <w:i/>
          <w:bCs/>
          <w:b/>
          <w:iCs/>
          <w:i/>
          <w:bCs/>
          <w:b/>
          <w:iCs/>
          <w:i/>
          <w:bCs/>
          <w:b/>
        </w:rPr>
        <w:t xml:space="preserve">a</w:t>
      </w:r>
    </w:p>
    <w:p>
      <w:pPr>
        <w:pStyle w:val="BodyText"/>
      </w:pPr>
      <w:r>
        <w:t xml:space="preserve">In</w:t>
      </w:r>
    </w:p>
    <w:p>
      <w:pPr>
        <w:pStyle w:val="BodyText"/>
      </w:pPr>
      <w:r>
        <w:t xml:space="preserve">I</w:t>
      </w:r>
    </w:p>
    <w:p>
      <w:pPr>
        <w:pStyle w:val="BodyText"/>
      </w:pPr>
      <w:r>
        <w:t xml:space="preserve">ni</w:t>
      </w:r>
    </w:p>
    <w:p>
      <w:pPr>
        <w:pStyle w:val="BodyText"/>
      </w:pPr>
      <w:r>
        <w:t xml:space="preserve">ae rapid real estate development has led to the proliferation of high-rise apartments that ignore local climate conditions and community needs. The architect must challenge these trends by promoting context-sensitive designs that respect Bangalore’s historical layout micro-climates and green cover.</w:t>
      </w:r>
    </w:p>
    <w:bookmarkEnd w:id="21"/>
    <w:bookmarkStart w:id="22" w:name="X105a6b884ac90f182c5c877d15a0f60d9de1762"/>
    <w:p>
      <w:pPr>
        <w:pStyle w:val="Heading2"/>
      </w:pPr>
      <w:r>
        <w:t xml:space="preserve">3. Challenges Faced by Urban Planners in Bangalore</w:t>
      </w:r>
    </w:p>
    <w:p>
      <w:pPr>
        <w:pStyle w:val="FirstParagraph"/>
      </w:pPr>
      <w:r>
        <w:t xml:space="preserve">Bangalore faces several pressing challenges:</w:t>
      </w:r>
    </w:p>
    <w:p>
      <w:pPr>
        <w:numPr>
          <w:ilvl w:val="0"/>
          <w:numId w:val="1001"/>
        </w:numPr>
        <w:pStyle w:val="Compact"/>
      </w:pPr>
      <w:r>
        <w:rPr>
          <w:bCs/>
          <w:b/>
        </w:rPr>
        <w:t xml:space="preserve">Burst Water Resources:</w:t>
      </w:r>
      <w:r>
        <w:t xml:space="preserve"> </w:t>
      </w:r>
      <w:r>
        <w:t xml:space="preserve">Depletion of groundwater levels due to unregulated construction and population growth.</w:t>
      </w:r>
    </w:p>
    <w:p>
      <w:pPr>
        <w:numPr>
          <w:ilvl w:val="0"/>
          <w:numId w:val="1001"/>
        </w:numPr>
        <w:pStyle w:val="Compact"/>
      </w:pPr>
      <w:r>
        <w:rPr>
          <w:bCs/>
          <w:b/>
        </w:rPr>
        <w:t xml:space="preserve">Traffic Congestion:</w:t>
      </w:r>
      <w:r>
        <w:t xml:space="preserve"> </w:t>
      </w:r>
      <w:r>
        <w:t xml:space="preserve">Poor public transport infrastructure forcing reliance on private vehicles.</w:t>
      </w:r>
    </w:p>
    <w:p>
      <w:pPr>
        <w:numPr>
          <w:ilvl w:val="0"/>
          <w:numId w:val="1001"/>
        </w:numPr>
        <w:pStyle w:val="Compact"/>
      </w:pPr>
      <w:r>
        <w:rPr>
          <w:iCs/>
          <w:i/>
        </w:rPr>
        <w:t xml:space="preserve">Loss of Green Cover</w:t>
      </w:r>
      <w:r>
        <w:t xml:space="preserve">: Encroachment on lakes and parks for commercial real estate projects.</w:t>
      </w:r>
    </w:p>
    <w:p>
      <w:pPr>
        <w:numPr>
          <w:ilvl w:val="0"/>
          <w:numId w:val="1001"/>
        </w:numPr>
        <w:pStyle w:val="Compact"/>
      </w:pPr>
      <w:r>
        <w:t xml:space="preserve">Socio-Economic Inequality: Gentrification pushing lower-income groups to peripheral areas.</w:t>
      </w:r>
    </w:p>
    <w:p>
      <w:pPr>
        <w:pStyle w:val="FirstParagraph"/>
      </w:pPr>
      <w:r>
        <w:t xml:space="preserve">The</w:t>
      </w:r>
    </w:p>
    <w:p>
      <w:pPr>
        <w:pStyle w:val="BodyText"/>
      </w:pPr>
      <w:r>
        <w:t xml:space="preserve">A</w:t>
      </w:r>
    </w:p>
    <w:p>
      <w:pPr>
        <w:pStyle w:val="BodyText"/>
      </w:pPr>
      <w:r>
        <w:t xml:space="preserve">r</w:t>
      </w:r>
    </w:p>
    <w:p>
      <w:pPr>
        <w:pStyle w:val="BodyText"/>
      </w:pPr>
      <w:r>
        <w:t xml:space="preserve">c</w:t>
      </w:r>
    </w:p>
    <w:p>
      <w:pPr>
        <w:pStyle w:val="BodyText"/>
      </w:pPr>
      <w:r>
        <w:t xml:space="preserve">t</w:t>
      </w:r>
    </w:p>
    <w:p>
      <w:pPr>
        <w:pStyle w:val="BodyText"/>
      </w:pPr>
      <w:r>
        <w:t xml:space="preserve">e</w:t>
      </w:r>
    </w:p>
    <w:p>
      <w:pPr>
        <w:pStyle w:val="BodyText"/>
      </w:pPr>
      <w:r>
        <w:br/>
      </w:r>
      <w:r>
        <w:t xml:space="preserve">plays a crucial role in addressing these issues through strategic design interventions. For instance architects can advocate for mixed-use developments that reduce commute times integrate green spaces into building designs and implement rainwater harvesting systems at the micro-level.</w:t>
      </w:r>
    </w:p>
    <w:bookmarkEnd w:id="22"/>
    <w:bookmarkStart w:id="26" w:name="the-architect-as-an-agent-of-change"/>
    <w:p>
      <w:pPr>
        <w:pStyle w:val="Heading2"/>
      </w:pPr>
      <w:r>
        <w:t xml:space="preserve">4. The Architect as an Agent of Change</w:t>
      </w:r>
    </w:p>
    <w:p>
      <w:pPr>
        <w:pStyle w:val="FirstParagraph"/>
      </w:pPr>
      <w:r>
        <w:t xml:space="preserve">To effectively contribute to sustainable urbanism in</w:t>
      </w:r>
      <w:r>
        <w:t xml:space="preserve"> </w:t>
      </w:r>
      <w:r>
        <w:rPr>
          <w:iCs/>
          <w:i/>
        </w:rPr>
        <w:t xml:space="preserve">Ii</w:t>
      </w:r>
      <w:r>
        <w:rPr>
          <w:iCs/>
          <w:i/>
          <w:iCs/>
          <w:i/>
        </w:rPr>
        <w:t xml:space="preserve">a</w:t>
      </w:r>
    </w:p>
    <w:bookmarkStart w:id="23" w:name="X79dab2c5a5a159e6119a29be6de23ed18747a12"/>
    <w:p>
      <w:pPr>
        <w:pStyle w:val="Heading3"/>
      </w:pPr>
      <w:r>
        <w:rPr>
          <w:bCs/>
          <w:b/>
        </w:rPr>
        <w:t xml:space="preserve">A) Integration of Traditional Knowledge and Modern Technology</w:t>
      </w:r>
    </w:p>
    <w:p>
      <w:pPr>
        <w:pStyle w:val="FirstParagraph"/>
      </w:pPr>
      <w:r>
        <w:t xml:space="preserve">Bangalore’s architectural heritage offers valuable insights into passive cooling ventilation and spatial organization. The architect should combine these traditional techniques with modern technologies such as Building Information Modeling (BIM) Life Cycle Assessment (LCA tools to optimize performance. For example designing buildings with natural cross-ventilation reduces reliance on air conditioning lowering carbon footprints significantly.</w:t>
      </w:r>
    </w:p>
    <w:bookmarkEnd w:id="23"/>
    <w:bookmarkStart w:id="24" w:name="b-community-centric-design-processes"/>
    <w:p>
      <w:pPr>
        <w:pStyle w:val="Heading3"/>
      </w:pPr>
      <w:r>
        <w:rPr>
          <w:bCs/>
          <w:b/>
        </w:rPr>
        <w:t xml:space="preserve">B) Community-Centric Design Processes</w:t>
      </w:r>
    </w:p>
    <w:p>
      <w:pPr>
        <w:pStyle w:val="FirstParagraph"/>
      </w:pPr>
      <w:r>
        <w:t xml:space="preserve">In</w:t>
      </w:r>
      <w:r>
        <w:t xml:space="preserve"> </w:t>
      </w:r>
      <w:r>
        <w:rPr>
          <w:iCs/>
          <w:i/>
        </w:rPr>
        <w:t xml:space="preserve">Ii</w:t>
      </w:r>
      <w:r>
        <w:rPr>
          <w:iCs/>
          <w:i/>
          <w:iCs/>
          <w:i/>
        </w:rPr>
        <w:t xml:space="preserve">a</w:t>
      </w:r>
    </w:p>
    <w:bookmarkEnd w:id="24"/>
    <w:bookmarkStart w:id="25" w:name="X3f701ed365dd425a07bee82c60deb70e88ed16f"/>
    <w:p>
      <w:pPr>
        <w:pStyle w:val="Heading3"/>
      </w:pPr>
      <w:r>
        <w:rPr>
          <w:bCs/>
          <w:b/>
        </w:rPr>
        <w:t xml:space="preserve">C) Policy Advocacy and Regulatory Compliance</w:t>
      </w:r>
    </w:p>
    <w:p>
      <w:pPr>
        <w:pStyle w:val="FirstParagraph"/>
      </w:pPr>
      <w:r>
        <w:t xml:space="preserve">The Bangalore Development Authority (BDA) provides guidelines for construction but enforcement remains inconsistent. Architects can serve as advocates by promoting adherence to green building standards such as IGBC Indian Green Building Council certifications. By demonstrating the economic benefits of sustainable practices architects can influence policymakers and developers alike.</w:t>
      </w:r>
    </w:p>
    <w:bookmarkEnd w:id="25"/>
    <w:bookmarkEnd w:id="26"/>
    <w:bookmarkStart w:id="27" w:name="Xb2dc257684b4b223d24710c8c1e1189db6bec92"/>
    <w:p>
      <w:pPr>
        <w:pStyle w:val="Heading2"/>
      </w:pPr>
      <w:r>
        <w:rPr>
          <w:bCs/>
          <w:b/>
        </w:rPr>
        <w:t xml:space="preserve">D) Case Study: Sustainable Housing Initiatives in Bangalore</w:t>
      </w:r>
    </w:p>
    <w:p>
      <w:pPr>
        <w:pStyle w:val="FirstParagraph"/>
      </w:pPr>
      <w:r>
        <w:t xml:space="preserve">Several initiatives in</w:t>
      </w:r>
      <w:r>
        <w:t xml:space="preserve"> </w:t>
      </w:r>
      <w:r>
        <w:rPr>
          <w:iCs/>
          <w:i/>
        </w:rPr>
        <w:t xml:space="preserve">Ii</w:t>
      </w:r>
      <w:r>
        <w:rPr>
          <w:iCs/>
          <w:i/>
          <w:iCs/>
          <w:i/>
        </w:rPr>
        <w:t xml:space="preserve">a</w:t>
      </w:r>
    </w:p>
    <w:bookmarkEnd w:id="27"/>
    <w:bookmarkStart w:id="28" w:name="recommendations-for-future-practice"/>
    <w:p>
      <w:pPr>
        <w:pStyle w:val="Heading2"/>
      </w:pPr>
      <w:r>
        <w:t xml:space="preserve">5. Recommendations for Future Practice</w:t>
      </w:r>
    </w:p>
    <w:p>
      <w:pPr>
        <w:pStyle w:val="FirstParagraph"/>
      </w:pPr>
      <w:r>
        <w:t xml:space="preserve">To enhance the impact of the</w:t>
      </w:r>
      <w:r>
        <w:t xml:space="preserve"> </w:t>
      </w:r>
      <w:r>
        <w:rPr>
          <w:bCs/>
          <w:b/>
        </w:rPr>
        <w:t xml:space="preserve">A</w:t>
      </w:r>
      <w:r>
        <w:rPr>
          <w:vertAlign w:val="subscript"/>
          <w:bCs/>
          <w:b/>
        </w:rPr>
        <w:t xml:space="preserve">r</w:t>
      </w:r>
      <w:r>
        <w:rPr>
          <w:bCs/>
          <w:b/>
          <w:vertAlign w:val="subscript"/>
          <w:bCs/>
          <w:b/>
        </w:rPr>
        <w:t xml:space="preserve">c</w:t>
      </w:r>
      <w:r>
        <w:rPr>
          <w:iCs/>
          <w:i/>
          <w:bCs/>
          <w:b/>
          <w:vertAlign w:val="subscript"/>
          <w:bCs/>
          <w:b/>
        </w:rPr>
        <w:t xml:space="preserve">t</w:t>
      </w:r>
      <w:r>
        <w:rPr>
          <w:bCs/>
          <w:b/>
          <w:iCs/>
          <w:i/>
          <w:bCs/>
          <w:b/>
          <w:vertAlign w:val="subscript"/>
          <w:bCs/>
          <w:b/>
        </w:rPr>
        <w:t xml:space="preserve">e</w:t>
      </w:r>
      <w:r>
        <w:br/>
      </w:r>
      <w:r>
        <w:rPr>
          <w:bCs/>
          <w:b/>
          <w:iCs/>
          <w:i/>
          <w:bCs/>
          <w:b/>
          <w:vertAlign w:val="subscript"/>
          <w:bCs/>
          <w:b/>
        </w:rPr>
        <w:t xml:space="preserve">in shaping sustainable urbanism in</w:t>
      </w:r>
      <w:r>
        <w:rPr>
          <w:bCs/>
          <w:b/>
          <w:iCs/>
          <w:i/>
          <w:bCs/>
          <w:b/>
          <w:vertAlign w:val="subscript"/>
          <w:bCs/>
          <w:b/>
        </w:rPr>
        <w:t xml:space="preserve"> </w:t>
      </w:r>
      <w:r>
        <w:rPr>
          <w:iCs/>
          <w:i/>
          <w:bCs/>
          <w:b/>
          <w:iCs/>
          <w:i/>
          <w:bCs/>
          <w:b/>
          <w:vertAlign w:val="subscript"/>
          <w:bCs/>
          <w:b/>
        </w:rPr>
        <w:t xml:space="preserve">Ii</w:t>
      </w:r>
      <w:r>
        <w:rPr>
          <w:iCs/>
          <w:i/>
          <w:iCs/>
          <w:i/>
          <w:bCs/>
          <w:b/>
          <w:iCs/>
          <w:i/>
          <w:bCs/>
          <w:b/>
          <w:vertAlign w:val="subscript"/>
          <w:bCs/>
          <w:b/>
        </w:rPr>
        <w:t xml:space="preserve">a</w:t>
      </w:r>
    </w:p>
    <w:p>
      <w:pPr>
        <w:pStyle w:val="BodyText"/>
      </w:pPr>
      <w:r>
        <w:t xml:space="preserve">Establish mandatory sustainability training programs for architectural students and practicing professionals.</w:t>
      </w:r>
    </w:p>
    <w:p>
      <w:pPr>
        <w:pStyle w:val="BodyText"/>
      </w:pPr>
      <w:r>
        <w:t xml:space="preserve">Promote inter-disciplinary collaborations between architects engineers sociologists and ecologists.</w:t>
      </w:r>
    </w:p>
    <w:p>
      <w:pPr>
        <w:pStyle w:val="BodyText"/>
      </w:pPr>
      <w:r>
        <w:t xml:space="preserve">In conclusion the role of the architect in</w:t>
      </w:r>
      <w:r>
        <w:t xml:space="preserve"> </w:t>
      </w:r>
      <w:r>
        <w:rPr>
          <w:iCs/>
          <w:i/>
        </w:rPr>
        <w:t xml:space="preserve">Ii</w:t>
      </w:r>
      <w:r>
        <w:rPr>
          <w:iCs/>
          <w:i/>
          <w:iCs/>
          <w:i/>
        </w:rPr>
        <w:t xml:space="preserve">a</w:t>
      </w:r>
    </w:p>
    <w:bookmarkEnd w:id="28"/>
    <w:bookmarkStart w:id="29" w:name="conclusion"/>
    <w:p>
      <w:pPr>
        <w:pStyle w:val="Heading2"/>
      </w:pPr>
      <w:r>
        <w:t xml:space="preserve">6. Conclusion</w:t>
      </w:r>
    </w:p>
    <w:p>
      <w:pPr>
        <w:pStyle w:val="FirstParagraph"/>
      </w:pPr>
      <w:r>
        <w:t xml:space="preserve">The evolution of architecture in</w:t>
      </w:r>
    </w:p>
    <w:p>
      <w:pPr>
        <w:pStyle w:val="BodyText"/>
      </w:pPr>
      <w:r>
        <w:t xml:space="preserve">Ii</w:t>
      </w:r>
    </w:p>
    <w:p>
      <w:pPr>
        <w:pStyle w:val="BodyText"/>
      </w:pPr>
      <w:r>
        <w:t xml:space="preserv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Sustainable Urbanism in India, Bangalore</dc:title>
  <dc:creator/>
  <dc:language>en</dc:language>
  <cp:keywords/>
  <dcterms:created xsi:type="dcterms:W3CDTF">2026-07-29T06:48:57Z</dcterms:created>
  <dcterms:modified xsi:type="dcterms:W3CDTF">2026-07-29T06:48:57Z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