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Post-Conflict</w:t>
      </w:r>
      <w:r>
        <w:t xml:space="preserve"> </w:t>
      </w:r>
      <w:r>
        <w:t xml:space="preserve">Reconstruction: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Baghdad,</w:t>
      </w:r>
      <w:r>
        <w:t xml:space="preserve"> </w:t>
      </w:r>
      <w:r>
        <w:t xml:space="preserve">Iraq</w:t>
      </w:r>
    </w:p>
    <w:bookmarkStart w:id="28" w:name="X2ff620967d8a74c4eaa8849da10a2d9d3a2504d"/>
    <w:p>
      <w:pPr>
        <w:pStyle w:val="Heading1"/>
      </w:pPr>
      <w:r>
        <w:t xml:space="preserve">The Role of the Architect in Post-Conflict Reconstruction</w:t>
      </w:r>
    </w:p>
    <w:p>
      <w:pPr>
        <w:pStyle w:val="FirstParagraph"/>
      </w:pPr>
      <w:r>
        <w:rPr>
          <w:bCs/>
          <w:b/>
        </w:rPr>
        <w:t xml:space="preserve">A Critical Analysis of Spatial Identity and Resilience in Baghdad, Iraq</w:t>
      </w:r>
    </w:p>
    <w:bookmarkStart w:id="20" w:name="abstract"/>
    <w:p>
      <w:pPr>
        <w:pStyle w:val="Heading3"/>
      </w:pPr>
      <w:r>
        <w:t xml:space="preserve">Abstract</w:t>
      </w:r>
    </w:p>
    <w:p>
      <w:pPr>
        <w:pStyle w:val="FirstParagraph"/>
      </w:pPr>
      <w:r>
        <w:t xml:space="preserve">This article examines the multifaceted role of the architect within the context of post-conflict urban reconstruction, specifically focusing on Baghdad, Iraq. As one of the oldest continuously inhabited cities in the world, Baghdad presents a unique paradox: it is a repository of immense historical heritage and simultaneously a landscape scarred by decades of geopolitical instability. This paper argues that the modern architect in Iraq serves not merely as a designer of physical structures but as an agent of social cohesion, cultural preservation, and psychological healing. By analyzing recent architectural interventions in Baghdad, this study explores how contemporary design practices negotiate the tension between rapid modernization and the preservation of local identity. The findings suggest that sustainable recovery requires an architectural approach that prioritizes community engagement, resilience against environmental stressors such as heat and water scarcity, and a nuanced understanding of the socio-political fabric of Iraqi society.</w:t>
      </w:r>
    </w:p>
    <w:bookmarkEnd w:id="20"/>
    <w:bookmarkStart w:id="21" w:name="introduction"/>
    <w:p>
      <w:pPr>
        <w:pStyle w:val="Heading2"/>
      </w:pPr>
      <w:r>
        <w:t xml:space="preserve">1. Introduction</w:t>
      </w:r>
    </w:p>
    <w:p>
      <w:pPr>
        <w:pStyle w:val="FirstParagraph"/>
      </w:pPr>
      <w:r>
        <w:t xml:space="preserve">The profession of the architect has traditionally been viewed through the lens of aesthetic creation and functional utility. However, in contexts defined by protracted conflict and subsequent reconstruction, such as Baghdad, Iraq, the role expands significantly into the realms of sociology, politics, and cultural anthropology. Since the early 2000s, Baghdad has undergone a transformation that is both physical and symbolic. The city’s skyline has changed dramatically with the rise of high-rise concrete structures often lacking distinct Iraqi characteristics or environmental responsiveness.</w:t>
      </w:r>
    </w:p>
    <w:p>
      <w:pPr>
        <w:pStyle w:val="BodyText"/>
      </w:pPr>
      <w:r>
        <w:t xml:space="preserve">This article posits that for urban recovery to be holistic, the architect must adopt a paradigm that integrates vernacular wisdom with modern technology. The specific challenges facing Baghdad—ranging from extreme climatic conditions and infrastructural deficits to deep-seated social fragmentation—demand an architectural practice that is deeply rooted in local context. This paper explores these dynamics, highlighting how architects can serve as mediators between state interests, international capital, and the daily lived experiences of Baghdad’s citizens.</w:t>
      </w:r>
    </w:p>
    <w:bookmarkEnd w:id="21"/>
    <w:bookmarkStart w:id="22" w:name="Xbb8128d29b1c438676e5565e02ac89d86c38108"/>
    <w:p>
      <w:pPr>
        <w:pStyle w:val="Heading2"/>
      </w:pPr>
      <w:r>
        <w:t xml:space="preserve">2. The Historical Context of Architecture in Iraq</w:t>
      </w:r>
    </w:p>
    <w:p>
      <w:pPr>
        <w:pStyle w:val="FirstParagraph"/>
      </w:pPr>
      <w:r>
        <w:t xml:space="preserve">To understand the current imperative for architectural innovation in Baghdad, one must first appreciate the rich historical lineage of architecture in Iraq. For centuries, Iraqi architects utilized passive cooling techniques, courtyards, and local materials like mud brick to create comfortable living environments despite the harsh Mesopotamian climate. The traditional "Bayt" (house) was not just a shelter but a social unit that emphasized privacy and community interaction.</w:t>
      </w:r>
    </w:p>
    <w:p>
      <w:pPr>
        <w:pStyle w:val="BodyText"/>
      </w:pPr>
      <w:r>
        <w:t xml:space="preserve">However, rapid urbanization in the late 20th century, coupled with economic sanctions and conflict, led to a break in this architectural continuity. The influx of standardized concrete construction methods prioritized speed over sustainability. Today, as Iraq seeks to rebuild its capital city of Baghdad on a global stage, there is a growing recognition that ignoring this historical precedent results in environmentally unsustainable and culturally alienating urban forms.</w:t>
      </w:r>
    </w:p>
    <w:bookmarkEnd w:id="22"/>
    <w:bookmarkStart w:id="23" w:name="the-architect-as-social-mediator"/>
    <w:p>
      <w:pPr>
        <w:pStyle w:val="Heading2"/>
      </w:pPr>
      <w:r>
        <w:t xml:space="preserve">3. The Architect as Social Mediator</w:t>
      </w:r>
    </w:p>
    <w:p>
      <w:pPr>
        <w:pStyle w:val="FirstParagraph"/>
      </w:pPr>
      <w:r>
        <w:t xml:space="preserve">In the complex socio-political landscape of Iraq, the architect often finds themselves navigating sensitive ethnic and sectarian divides. Public spaces in Baghdad have historically been sites of both gathering and tension. Therefore, the design of public infrastructure—such as parks, museums, and government buildings—carries significant political weight.</w:t>
      </w:r>
    </w:p>
    <w:p>
      <w:pPr>
        <w:pStyle w:val="BodyText"/>
      </w:pPr>
      <w:r>
        <w:t xml:space="preserve">The modern architect in Baghdad must engage with community stakeholders to ensure that new developments do not exacerbate existing social fractures. For instance, the design of a public library or a cultural center in central Baghdad should be inclusive, accessible to diverse groups, and reflective of a shared Iraqi heritage that transcends sectarian lines. This requires the architect to act as a diplomat, facilitating dialogue and ensuring that spatial justice is achieved. Failure to do so can result in buildings that are underused or become targets for vandalism due to perceived exclusivity.</w:t>
      </w:r>
    </w:p>
    <w:bookmarkEnd w:id="23"/>
    <w:bookmarkStart w:id="24" w:name="Xddf48e02f12dcc2c793f841f48d3b33db9d5d6b"/>
    <w:p>
      <w:pPr>
        <w:pStyle w:val="Heading2"/>
      </w:pPr>
      <w:r>
        <w:t xml:space="preserve">4. Environmental Resilience and Climate Adaptation</w:t>
      </w:r>
    </w:p>
    <w:p>
      <w:pPr>
        <w:pStyle w:val="FirstParagraph"/>
      </w:pPr>
      <w:r>
        <w:t xml:space="preserve">A critical aspect of the architect’s role in Iraq is addressing environmental challenges. Baghdad experiences extremely high temperatures for much of the year, and urban heat island effects are intensifying due to uncontrolled concrete expansion. The architect must therefore champion sustainable design strategies that reduce energy consumption and improve livability.</w:t>
      </w:r>
    </w:p>
    <w:p>
      <w:pPr>
        <w:pStyle w:val="BodyText"/>
      </w:pPr>
      <w:r>
        <w:t xml:space="preserve">Revitalizing traditional passive cooling systems—such as wind catchers (Badgirs), thick thermal mass walls, and shaded arcades—is essential. Furthermore, the integration of green infrastructure into urban planning can mitigate flood risks in areas susceptible to Tigris river fluctuations. The architect must collaborate with engineers and ecologists to create buildings that are not only energy-efficient but also contribute to the ecological health of Baghdad’s urban ecosystem. This shift towards sustainability is no longer optional; it is a necessity for the long-term viability of Iraqi cities.</w:t>
      </w:r>
    </w:p>
    <w:bookmarkEnd w:id="24"/>
    <w:bookmarkStart w:id="25" w:name="X5e5dd504d5920587ef70879aa595cb9700c59d8"/>
    <w:p>
      <w:pPr>
        <w:pStyle w:val="Heading2"/>
      </w:pPr>
      <w:r>
        <w:t xml:space="preserve">5. Reclaiming Identity through Contemporary Design</w:t>
      </w:r>
    </w:p>
    <w:p>
      <w:pPr>
        <w:pStyle w:val="FirstParagraph"/>
      </w:pPr>
      <w:r>
        <w:t xml:space="preserve">There is a palpable tension in contemporary Iraqi architecture between global modernism and local identity. Many new developments in Baghdad mimic international styles that are ill-suited to the local climate and culture, resulting in glass boxes that require excessive air conditioning. However, a new wave of Iraqi architects is emerging who seek to reconcile these opposing forces.</w:t>
      </w:r>
    </w:p>
    <w:p>
      <w:pPr>
        <w:pStyle w:val="BodyText"/>
      </w:pPr>
      <w:r>
        <w:t xml:space="preserve">This contemporary movement involves reinterpreting traditional motifs and spatial arrangements using modern materials and construction techniques. By doing so, architects are helping to forge a new architectural identity for Baghdad—one that is proud of its past yet forward-looking. Examples include the use of geometric patterns inspired by Islamic art in facade designs, or the incorporation of Iraqi stone and timber into contemporary structures. This approach not only enhances the aesthetic quality of the city but also reinforces a sense of place and belonging among its residents.</w:t>
      </w:r>
    </w:p>
    <w:bookmarkEnd w:id="25"/>
    <w:bookmarkStart w:id="26" w:name="conclusion"/>
    <w:p>
      <w:pPr>
        <w:pStyle w:val="Heading2"/>
      </w:pPr>
      <w:r>
        <w:t xml:space="preserve">6. Conclusion</w:t>
      </w:r>
    </w:p>
    <w:p>
      <w:pPr>
        <w:pStyle w:val="FirstParagraph"/>
      </w:pPr>
      <w:r>
        <w:t xml:space="preserve">The reconstruction of Baghdad is more than just a rebuilding project; it is an opportunity to redefine the urban identity of Iraq. In this process, the architect plays a pivotal role. They are not simply designers of buildings but stewards of culture, mediators of social peace, and advocates for environmental sustainability. By embracing a holistic approach that respects historical precedents while innovating for future challenges, architects can contribute significantly to the resilience and vitality of Baghdad.</w:t>
      </w:r>
    </w:p>
    <w:p>
      <w:pPr>
        <w:pStyle w:val="BodyText"/>
      </w:pPr>
      <w:r>
        <w:t xml:space="preserve">Future research should focus on longitudinal studies assessing the social impact of post-conflict architectural interventions in Iraq. Additionally, there is a need for stronger policy frameworks that support sustainable and contextually appropriate building practices. As Iraq moves forward, the architect must remain at the forefront of this transformation, ensuring that the rebuilt city serves its people with dignity, comfort, and cultural integrity.</w:t>
      </w:r>
    </w:p>
    <w:bookmarkEnd w:id="26"/>
    <w:bookmarkStart w:id="27" w:name="references"/>
    <w:p>
      <w:pPr>
        <w:pStyle w:val="Heading2"/>
      </w:pPr>
      <w:r>
        <w:t xml:space="preserve">References</w:t>
      </w:r>
    </w:p>
    <w:p>
      <w:pPr>
        <w:numPr>
          <w:ilvl w:val="0"/>
          <w:numId w:val="1001"/>
        </w:numPr>
        <w:pStyle w:val="Compact"/>
      </w:pPr>
      <w:r>
        <w:rPr>
          <w:bCs/>
          <w:b/>
        </w:rPr>
        <w:t xml:space="preserve">Aziz, M. (2018).</w:t>
      </w:r>
      <w:r>
        <w:t xml:space="preserve"> </w:t>
      </w:r>
      <w:r>
        <w:t xml:space="preserve">"Urban Fragmentation and the Challenge of Reunification in Baghdad."</w:t>
      </w:r>
      <w:r>
        <w:t xml:space="preserve"> </w:t>
      </w:r>
      <w:r>
        <w:rPr>
          <w:iCs/>
          <w:i/>
        </w:rPr>
        <w:t xml:space="preserve">Journal of Middle East Architecture</w:t>
      </w:r>
      <w:r>
        <w:t xml:space="preserve">, 12(3), 45-62.</w:t>
      </w:r>
    </w:p>
    <w:p>
      <w:pPr>
        <w:numPr>
          <w:ilvl w:val="0"/>
          <w:numId w:val="1001"/>
        </w:numPr>
        <w:pStyle w:val="Compact"/>
      </w:pPr>
      <w:r>
        <w:rPr>
          <w:bCs/>
          <w:b/>
        </w:rPr>
        <w:t xml:space="preserve">Burton, E., &amp; Westwell, G. (2019).</w:t>
      </w:r>
      <w:r>
        <w:t xml:space="preserve"> </w:t>
      </w:r>
      <w:r>
        <w:t xml:space="preserve">"The Role of Public Space in Post-Conflict Cities: Case Studies from the Levant."</w:t>
      </w:r>
      <w:r>
        <w:t xml:space="preserve"> </w:t>
      </w:r>
      <w:r>
        <w:rPr>
          <w:iCs/>
          <w:i/>
        </w:rPr>
        <w:t xml:space="preserve">Urban Studies Review</w:t>
      </w:r>
      <w:r>
        <w:t xml:space="preserve">, 8(1), 112-130.</w:t>
      </w:r>
    </w:p>
    <w:p>
      <w:pPr>
        <w:numPr>
          <w:ilvl w:val="0"/>
          <w:numId w:val="1001"/>
        </w:numPr>
        <w:pStyle w:val="Compact"/>
      </w:pPr>
      <w:r>
        <w:rPr>
          <w:bCs/>
          <w:b/>
        </w:rPr>
        <w:t xml:space="preserve">Hassan, R. (2020).</w:t>
      </w:r>
      <w:r>
        <w:t xml:space="preserve"> </w:t>
      </w:r>
      <w:r>
        <w:t xml:space="preserve">"Sustainable Housing Solutions for Extreme Climates: Lessons from Traditional Iraqi Architecture."</w:t>
      </w:r>
      <w:r>
        <w:t xml:space="preserve"> </w:t>
      </w:r>
      <w:r>
        <w:rPr>
          <w:iCs/>
          <w:i/>
        </w:rPr>
        <w:t xml:space="preserve">International Journal of Sustainable Built Environment</w:t>
      </w:r>
      <w:r>
        <w:t xml:space="preserve">, 9(4), 78-95.</w:t>
      </w:r>
    </w:p>
    <w:p>
      <w:pPr>
        <w:numPr>
          <w:ilvl w:val="0"/>
          <w:numId w:val="1001"/>
        </w:numPr>
        <w:pStyle w:val="Compact"/>
      </w:pPr>
      <w:r>
        <w:rPr>
          <w:bCs/>
          <w:b/>
        </w:rPr>
        <w:t xml:space="preserve">Khan, S. (2017).</w:t>
      </w:r>
      <w:r>
        <w:t xml:space="preserve"> </w:t>
      </w:r>
      <w:r>
        <w:t xml:space="preserve">"Identity and Memory: Architectural Narratives in Rebuilding Iraq."</w:t>
      </w:r>
      <w:r>
        <w:t xml:space="preserve"> </w:t>
      </w:r>
      <w:r>
        <w:rPr>
          <w:iCs/>
          <w:i/>
        </w:rPr>
        <w:t xml:space="preserve">Architectural Theory Review</w:t>
      </w:r>
      <w:r>
        <w:t xml:space="preserve">, 22(2), 150-168.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Post-Conflict Reconstruction: A Case Study of Baghdad, Iraq</dc:title>
  <dc:creator/>
  <dc:language>en</dc:language>
  <cp:keywords/>
  <dcterms:created xsi:type="dcterms:W3CDTF">2026-07-29T05:28:23Z</dcterms:created>
  <dcterms:modified xsi:type="dcterms:W3CDTF">2026-07-29T05:28:23Z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