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Italy</w:t>
      </w:r>
      <w:r>
        <w:t xml:space="preserve"> </w:t>
      </w:r>
      <w:r>
        <w:t xml:space="preserve">Milan:</w:t>
      </w:r>
      <w:r>
        <w:t xml:space="preserve"> </w:t>
      </w:r>
      <w:r>
        <w:t xml:space="preserve">Navigating</w:t>
      </w:r>
      <w:r>
        <w:t xml:space="preserve"> </w:t>
      </w:r>
      <w:r>
        <w:t xml:space="preserve">Regulatory</w:t>
      </w:r>
      <w:r>
        <w:t xml:space="preserve"> </w:t>
      </w:r>
      <w:r>
        <w:t xml:space="preserve">Frameworks,</w:t>
      </w:r>
      <w:r>
        <w:t xml:space="preserve"> </w:t>
      </w:r>
      <w:r>
        <w:t xml:space="preserve">Cultural</w:t>
      </w:r>
      <w:r>
        <w:t xml:space="preserve"> </w:t>
      </w:r>
      <w:r>
        <w:t xml:space="preserve">Heritage,</w:t>
      </w:r>
      <w:r>
        <w:t xml:space="preserve"> </w:t>
      </w:r>
      <w:r>
        <w:t xml:space="preserve">and</w:t>
      </w:r>
      <w:r>
        <w:t xml:space="preserve"> </w:t>
      </w:r>
      <w:r>
        <w:t xml:space="preserve">Contemporary</w:t>
      </w:r>
      <w:r>
        <w:t xml:space="preserve"> </w:t>
      </w:r>
      <w:r>
        <w:t xml:space="preserve">Urbanism</w:t>
      </w:r>
    </w:p>
    <w:bookmarkStart w:id="27" w:name="X6f2fc390b0eda179ae9da52f8176128d71e61ca"/>
    <w:p>
      <w:pPr>
        <w:pStyle w:val="Heading1"/>
      </w:pPr>
      <w:r>
        <w:t xml:space="preserve">The Architect in Italy Milan: Navigating Regulatory Frameworks, Cultural Heritage, and Contemporary Urbanism</w:t>
      </w:r>
    </w:p>
    <w:p>
      <w:pPr>
        <w:pStyle w:val="FirstParagraph"/>
      </w:pPr>
      <w:r>
        <w:rPr>
          <w:bCs/>
          <w:b/>
        </w:rPr>
        <w:t xml:space="preserve">Abstract</w:t>
      </w:r>
    </w:p>
    <w:p>
      <w:pPr>
        <w:pStyle w:val="BodyText"/>
      </w:pPr>
      <w:r>
        <w:t xml:space="preserve">This article explores the multifaceted role of the</w:t>
      </w:r>
      <w:r>
        <w:t xml:space="preserve"> </w:t>
      </w:r>
      <w:r>
        <w:rPr>
          <w:bCs/>
          <w:b/>
        </w:rPr>
        <w:t xml:space="preserve">Architect</w:t>
      </w:r>
      <w:r>
        <w:t xml:space="preserve"> </w:t>
      </w:r>
      <w:r>
        <w:t xml:space="preserve">within the dynamic urban landscape of</w:t>
      </w:r>
      <w:r>
        <w:t xml:space="preserve"> </w:t>
      </w:r>
      <w:r>
        <w:rPr>
          <w:bCs/>
          <w:b/>
        </w:rPr>
        <w:t xml:space="preserve">Milan, Italy</w:t>
      </w:r>
      <w:r>
        <w:t xml:space="preserve">. As Milan transitions from a traditional industrial powerhouse to a global hub for design, finance, and innovation, the profession faces unprecedented challenges. These include stringent regulatory environments rooted in centuries of preservation laws, the pressure to modernize infrastructure without compromising historical integrity, and the integration of sustainable technologies. This paper argues that the contemporary</w:t>
      </w:r>
      <w:r>
        <w:t xml:space="preserve"> </w:t>
      </w:r>
      <w:r>
        <w:rPr>
          <w:bCs/>
          <w:b/>
        </w:rPr>
        <w:t xml:space="preserve">Architect</w:t>
      </w:r>
      <w:r>
        <w:t xml:space="preserve"> </w:t>
      </w:r>
      <w:r>
        <w:t xml:space="preserve">in</w:t>
      </w:r>
      <w:r>
        <w:t xml:space="preserve"> </w:t>
      </w:r>
      <w:r>
        <w:rPr>
          <w:bCs/>
          <w:b/>
        </w:rPr>
        <w:t xml:space="preserve">Milan</w:t>
      </w:r>
      <w:r>
        <w:t xml:space="preserve"> </w:t>
      </w:r>
      <w:r>
        <w:t xml:space="preserve">must function not merely as a designer but as a mediator between heritage conservationists, municipal regulators, and future-oriented urban planners. Through an analysis of recent projects in the Porta Nuova district and regulatory case studies, this study highlights how architectural practice in</w:t>
      </w:r>
      <w:r>
        <w:t xml:space="preserve"> </w:t>
      </w:r>
      <w:r>
        <w:rPr>
          <w:iCs/>
          <w:i/>
        </w:rPr>
        <w:t xml:space="preserve">Milan</w:t>
      </w:r>
      <w:r>
        <w:t xml:space="preserve"> </w:t>
      </w:r>
      <w:r>
        <w:t xml:space="preserve">reflects broader tensions between modernization and tradition.</w:t>
      </w:r>
    </w:p>
    <w:p>
      <w:pPr>
        <w:pStyle w:val="BodyText"/>
      </w:pPr>
      <w:r>
        <w:rPr>
          <w:bCs/>
          <w:b/>
        </w:rPr>
        <w:t xml:space="preserve">Keywords:</w:t>
      </w:r>
      <w:r>
        <w:t xml:space="preserve"> </w:t>
      </w:r>
      <w:r>
        <w:t xml:space="preserve">Architecture; Milan; Italy; Urban Planning; Heritage Conservation; Regulatory Frameworks.</w:t>
      </w:r>
    </w:p>
    <w:bookmarkStart w:id="20" w:name="introduction"/>
    <w:p>
      <w:pPr>
        <w:pStyle w:val="Heading2"/>
      </w:pPr>
      <w:r>
        <w:t xml:space="preserve">1. Introduction</w:t>
      </w:r>
    </w:p>
    <w:p>
      <w:pPr>
        <w:pStyle w:val="FirstParagraph"/>
      </w:pPr>
      <w:r>
        <w:t xml:space="preserve">Milan stands as a paradox of modern European urbanism. It is a city that simultaneously looks backward to the grandeur of its Renaissance and Baroque past while aggressively propelling itself toward a futuristic, tech-driven future. For the</w:t>
      </w:r>
      <w:r>
        <w:t xml:space="preserve"> </w:t>
      </w:r>
      <w:r>
        <w:rPr>
          <w:bCs/>
          <w:b/>
        </w:rPr>
        <w:t xml:space="preserve">Architect</w:t>
      </w:r>
      <w:r>
        <w:t xml:space="preserve"> </w:t>
      </w:r>
      <w:r>
        <w:t xml:space="preserve">operating in this specific geographic and cultural context—</w:t>
      </w:r>
      <w:r>
        <w:rPr>
          <w:bCs/>
          <w:b/>
        </w:rPr>
        <w:t xml:space="preserve">Milan, Italy</w:t>
      </w:r>
      <w:r>
        <w:t xml:space="preserve">—the profession has evolved significantly over the last three decades. The collapse of heavy industry at the end of the 20th century created vast brownfield sites that required transformation, presenting a unique canvas for architectural experimentation.</w:t>
      </w:r>
    </w:p>
    <w:p>
      <w:pPr>
        <w:pStyle w:val="BodyText"/>
      </w:pPr>
      <w:r>
        <w:t xml:space="preserve">In</w:t>
      </w:r>
      <w:r>
        <w:t xml:space="preserve"> </w:t>
      </w:r>
      <w:r>
        <w:rPr>
          <w:bCs/>
          <w:b/>
        </w:rPr>
        <w:t xml:space="preserve">Milan</w:t>
      </w:r>
      <w:r>
        <w:t xml:space="preserve">, the</w:t>
      </w:r>
      <w:r>
        <w:t xml:space="preserve"> </w:t>
      </w:r>
      <w:r>
        <w:rPr>
          <w:bCs/>
          <w:b/>
        </w:rPr>
        <w:t xml:space="preserve">Architect</w:t>
      </w:r>
      <w:r>
        <w:t xml:space="preserve"> </w:t>
      </w:r>
      <w:r>
        <w:t xml:space="preserve">is no longer just concerned with aesthetic form but must navigate a complex web of national Italian laws, regional Lombardy regulations, and strict municipal zoning codes. This article examines how the identity of the</w:t>
      </w:r>
      <w:r>
        <w:t xml:space="preserve"> </w:t>
      </w:r>
      <w:r>
        <w:rPr>
          <w:bCs/>
          <w:b/>
        </w:rPr>
        <w:t xml:space="preserve">Architect</w:t>
      </w:r>
      <w:r>
        <w:t xml:space="preserve"> </w:t>
      </w:r>
      <w:r>
        <w:t xml:space="preserve">in</w:t>
      </w:r>
      <w:r>
        <w:t xml:space="preserve"> </w:t>
      </w:r>
      <w:r>
        <w:rPr>
          <w:iCs/>
          <w:i/>
        </w:rPr>
        <w:t xml:space="preserve">Milan</w:t>
      </w:r>
      <w:r>
        <w:t xml:space="preserve"> </w:t>
      </w:r>
      <w:r>
        <w:t xml:space="preserve">is shaped by these constraints and opportunities. It posits that successful architectural intervention in</w:t>
      </w:r>
      <w:r>
        <w:t xml:space="preserve"> </w:t>
      </w:r>
      <w:r>
        <w:rPr>
          <w:bCs/>
          <w:b/>
        </w:rPr>
        <w:t xml:space="preserve">Milan</w:t>
      </w:r>
      <w:r>
        <w:t xml:space="preserve"> </w:t>
      </w:r>
      <w:r>
        <w:t xml:space="preserve">requires a deep understanding of "palimpsest" urbanism—where new structures are layered upon existing historical textures without erasing them.</w:t>
      </w:r>
    </w:p>
    <w:bookmarkEnd w:id="20"/>
    <w:bookmarkStart w:id="21" w:name="X9e61c28e65762af9a7621c92007dd356734e6c4"/>
    <w:p>
      <w:pPr>
        <w:pStyle w:val="Heading2"/>
      </w:pPr>
      <w:r>
        <w:t xml:space="preserve">2. The Regulatory Environment: A Challenge for the Architect</w:t>
      </w:r>
    </w:p>
    <w:p>
      <w:pPr>
        <w:pStyle w:val="FirstParagraph"/>
      </w:pPr>
      <w:r>
        <w:t xml:space="preserve">The role of the</w:t>
      </w:r>
      <w:r>
        <w:t xml:space="preserve"> </w:t>
      </w:r>
      <w:r>
        <w:rPr>
          <w:bCs/>
          <w:b/>
        </w:rPr>
        <w:t xml:space="preserve">Architect</w:t>
      </w:r>
      <w:r>
        <w:t xml:space="preserve"> </w:t>
      </w:r>
      <w:r>
        <w:t xml:space="preserve">in</w:t>
      </w:r>
      <w:r>
        <w:t xml:space="preserve"> </w:t>
      </w:r>
      <w:r>
        <w:rPr>
          <w:bCs/>
          <w:b/>
        </w:rPr>
        <w:t xml:space="preserve">Milan, Italy</w:t>
      </w:r>
      <w:r>
        <w:t xml:space="preserve">, is heavily influenced by the Italian legal framework regarding cultural heritage. Unlike many Western cities where zoning laws are primarily economic tools, in Italy, preservation is a constitutional mandate. Article 9 of the Italian Constitution states that "The Republic promotes the protection of the historical and artistic heritage of the Nation." Consequently, an</w:t>
      </w:r>
      <w:r>
        <w:t xml:space="preserve"> </w:t>
      </w:r>
      <w:r>
        <w:rPr>
          <w:bCs/>
          <w:b/>
        </w:rPr>
        <w:t xml:space="preserve">Architect</w:t>
      </w:r>
      <w:r>
        <w:t xml:space="preserve"> </w:t>
      </w:r>
      <w:r>
        <w:t xml:space="preserve">practicing in</w:t>
      </w:r>
      <w:r>
        <w:t xml:space="preserve"> </w:t>
      </w:r>
      <w:r>
        <w:rPr>
          <w:iCs/>
          <w:i/>
        </w:rPr>
        <w:t xml:space="preserve">Milan</w:t>
      </w:r>
      <w:r>
        <w:t xml:space="preserve"> </w:t>
      </w:r>
      <w:r>
        <w:t xml:space="preserve">must engage with Soprintendenze (Superintendencies for Cultural Heritage) early in the design process.</w:t>
      </w:r>
    </w:p>
    <w:p>
      <w:pPr>
        <w:pStyle w:val="BodyText"/>
      </w:pPr>
      <w:r>
        <w:t xml:space="preserve">This regulatory landscape creates a distinct professional challenge. The</w:t>
      </w:r>
      <w:r>
        <w:t xml:space="preserve"> </w:t>
      </w:r>
      <w:r>
        <w:rPr>
          <w:bCs/>
          <w:b/>
        </w:rPr>
        <w:t xml:space="preserve">Architect</w:t>
      </w:r>
      <w:r>
        <w:t xml:space="preserve">, who is trained to innovate and utilize new materials, often finds their vision constrained by the need to preserve facades, sightlines, and structural integrity of historic buildings. In</w:t>
      </w:r>
      <w:r>
        <w:t xml:space="preserve"> </w:t>
      </w:r>
      <w:r>
        <w:rPr>
          <w:bCs/>
          <w:b/>
        </w:rPr>
        <w:t xml:space="preserve">Milan</w:t>
      </w:r>
      <w:r>
        <w:t xml:space="preserve">, this tension is particularly visible in the historic center (Centro Storico). Here, renovation projects require meticulous documentation and approval processes that can delay timelines significantly. The</w:t>
      </w:r>
      <w:r>
        <w:t xml:space="preserve"> </w:t>
      </w:r>
      <w:r>
        <w:rPr>
          <w:bCs/>
          <w:b/>
        </w:rPr>
        <w:t xml:space="preserve">Architect</w:t>
      </w:r>
      <w:r>
        <w:t xml:space="preserve"> </w:t>
      </w:r>
      <w:r>
        <w:t xml:space="preserve">must therefore possess not only technical design skills but also diplomatic and legal acumen to negotiate with bureaucratic entities.</w:t>
      </w:r>
    </w:p>
    <w:bookmarkEnd w:id="21"/>
    <w:bookmarkStart w:id="22" w:name="case-study-the-porta-nuova-district"/>
    <w:p>
      <w:pPr>
        <w:pStyle w:val="Heading2"/>
      </w:pPr>
      <w:r>
        <w:t xml:space="preserve">3. Case Study: The Porta Nuova District</w:t>
      </w:r>
    </w:p>
    <w:p>
      <w:pPr>
        <w:pStyle w:val="FirstParagraph"/>
      </w:pPr>
      <w:r>
        <w:t xml:space="preserve">The most striking example of the modern</w:t>
      </w:r>
      <w:r>
        <w:t xml:space="preserve"> </w:t>
      </w:r>
      <w:r>
        <w:rPr>
          <w:bCs/>
          <w:b/>
        </w:rPr>
        <w:t xml:space="preserve">Architect</w:t>
      </w:r>
      <w:r>
        <w:t xml:space="preserve">'s impact in</w:t>
      </w:r>
      <w:r>
        <w:t xml:space="preserve"> </w:t>
      </w:r>
      <w:r>
        <w:rPr>
          <w:iCs/>
          <w:i/>
        </w:rPr>
        <w:t xml:space="preserve">Milan</w:t>
      </w:r>
      <w:r>
        <w:t xml:space="preserve">, Italy, is the Porta Nuova district. Once a freight rail yard on the city's edge, it was transformed into one of Europe’s most ambitious urban regeneration projects. This area exemplifies how an</w:t>
      </w:r>
      <w:r>
        <w:t xml:space="preserve"> </w:t>
      </w:r>
      <w:r>
        <w:rPr>
          <w:bCs/>
          <w:b/>
        </w:rPr>
        <w:t xml:space="preserve">Architect</w:t>
      </w:r>
      <w:r>
        <w:t xml:space="preserve"> </w:t>
      </w:r>
      <w:r>
        <w:t xml:space="preserve">can reshape a city’s identity while respecting its context.</w:t>
      </w:r>
    </w:p>
    <w:p>
      <w:pPr>
        <w:pStyle w:val="BodyText"/>
      </w:pPr>
      <w:r>
        <w:t xml:space="preserve">The project was led by prominent international and local firms, illustrating that the definition of an</w:t>
      </w:r>
      <w:r>
        <w:t xml:space="preserve"> </w:t>
      </w:r>
      <w:r>
        <w:rPr>
          <w:bCs/>
          <w:b/>
        </w:rPr>
        <w:t xml:space="preserve">Architect</w:t>
      </w:r>
      <w:r>
        <w:t xml:space="preserve"> </w:t>
      </w:r>
      <w:r>
        <w:t xml:space="preserve">in</w:t>
      </w:r>
      <w:r>
        <w:t xml:space="preserve"> </w:t>
      </w:r>
      <w:r>
        <w:rPr>
          <w:iCs/>
          <w:i/>
        </w:rPr>
        <w:t xml:space="preserve">Milan</w:t>
      </w:r>
      <w:r>
        <w:t xml:space="preserve"> </w:t>
      </w:r>
      <w:r>
        <w:t xml:space="preserve">is increasingly global. The inclusion of Stefano Boeri’s "Bosco Verticale" (Vertical Forest) towers marked a turning point for sustainable architecture in Italy. For the</w:t>
      </w:r>
      <w:r>
        <w:t xml:space="preserve"> </w:t>
      </w:r>
      <w:r>
        <w:rPr>
          <w:bCs/>
          <w:b/>
        </w:rPr>
        <w:t xml:space="preserve">Architects</w:t>
      </w:r>
      <w:r>
        <w:t xml:space="preserve"> </w:t>
      </w:r>
      <w:r>
        <w:t xml:space="preserve">involved, the challenge was not just structural but ecological: integrating thousands of plants into high-rise residential units to combat air pollution and urban heat islands. This project redefined what it means to be an</w:t>
      </w:r>
      <w:r>
        <w:t xml:space="preserve"> </w:t>
      </w:r>
      <w:r>
        <w:rPr>
          <w:bCs/>
          <w:b/>
        </w:rPr>
        <w:t xml:space="preserve">Architect</w:t>
      </w:r>
      <w:r>
        <w:t xml:space="preserve"> </w:t>
      </w:r>
      <w:r>
        <w:t xml:space="preserve">in a dense Italian city—shifting from purely aesthetic considerations to environmental stewardship.</w:t>
      </w:r>
    </w:p>
    <w:p>
      <w:pPr>
        <w:pStyle w:val="BodyText"/>
      </w:pPr>
      <w:r>
        <w:t xml:space="preserve">The success of Porta Nuova demonstrates that the</w:t>
      </w:r>
      <w:r>
        <w:t xml:space="preserve"> </w:t>
      </w:r>
      <w:r>
        <w:rPr>
          <w:bCs/>
          <w:b/>
        </w:rPr>
        <w:t xml:space="preserve">Architect</w:t>
      </w:r>
      <w:r>
        <w:t xml:space="preserve"> </w:t>
      </w:r>
      <w:r>
        <w:t xml:space="preserve">in</w:t>
      </w:r>
      <w:r>
        <w:t xml:space="preserve"> </w:t>
      </w:r>
      <w:r>
        <w:rPr>
          <w:iCs/>
          <w:i/>
        </w:rPr>
        <w:t xml:space="preserve">Milan</w:t>
      </w:r>
      <w:r>
        <w:t xml:space="preserve">, Italy, serves as a catalyst for social change. By creating mixed-use spaces that combine housing, offices, and public greenery, the architectural interventions have fostered a new type of urban community. However, this success also highlights the gentrification issues that often accompany such large-scale redevelopment in</w:t>
      </w:r>
      <w:r>
        <w:t xml:space="preserve"> </w:t>
      </w:r>
      <w:r>
        <w:rPr>
          <w:bCs/>
          <w:b/>
        </w:rPr>
        <w:t xml:space="preserve">Milan</w:t>
      </w:r>
      <w:r>
        <w:t xml:space="preserve">, a topic that contemporary</w:t>
      </w:r>
      <w:r>
        <w:t xml:space="preserve"> </w:t>
      </w:r>
      <w:r>
        <w:rPr>
          <w:bCs/>
          <w:b/>
        </w:rPr>
        <w:t xml:space="preserve">Architects</w:t>
      </w:r>
      <w:r>
        <w:t xml:space="preserve"> </w:t>
      </w:r>
      <w:r>
        <w:t xml:space="preserve">are increasingly forced to address in their professional ethics and community engagement strategies.</w:t>
      </w:r>
    </w:p>
    <w:bookmarkEnd w:id="22"/>
    <w:bookmarkStart w:id="23" w:name="the-revival-of-traditional-craftsmanship"/>
    <w:p>
      <w:pPr>
        <w:pStyle w:val="Heading2"/>
      </w:pPr>
      <w:r>
        <w:t xml:space="preserve">4. The Revival of Traditional Craftsmanship</w:t>
      </w:r>
    </w:p>
    <w:p>
      <w:pPr>
        <w:pStyle w:val="FirstParagraph"/>
      </w:pPr>
      <w:r>
        <w:t xml:space="preserve">In contrast to the high-tech solutions of Porta Nuova, another facet of the</w:t>
      </w:r>
      <w:r>
        <w:t xml:space="preserve"> </w:t>
      </w:r>
      <w:r>
        <w:rPr>
          <w:bCs/>
          <w:b/>
        </w:rPr>
        <w:t xml:space="preserve">Architect</w:t>
      </w:r>
      <w:r>
        <w:t xml:space="preserve">'s role in</w:t>
      </w:r>
      <w:r>
        <w:t xml:space="preserve"> </w:t>
      </w:r>
      <w:r>
        <w:rPr>
          <w:iCs/>
          <w:i/>
        </w:rPr>
        <w:t xml:space="preserve">Milan</w:t>
      </w:r>
      <w:r>
        <w:t xml:space="preserve">, Italy, involves the rehabilitation of pre-war and historic buildings. Milan boasts a significant stock of Liberty-style (Art Nouveau) and Rationalist architecture from the Fascist era. The contemporary</w:t>
      </w:r>
      <w:r>
        <w:t xml:space="preserve"> </w:t>
      </w:r>
      <w:r>
        <w:rPr>
          <w:bCs/>
          <w:b/>
        </w:rPr>
        <w:t xml:space="preserve">Architect</w:t>
      </w:r>
      <w:r>
        <w:t xml:space="preserve"> </w:t>
      </w:r>
      <w:r>
        <w:t xml:space="preserve">is tasked with retrofitting these structures to meet modern energy efficiency standards (such as those outlined in the European Union’s Green Deal, which influences Italian policy).</w:t>
      </w:r>
    </w:p>
    <w:p>
      <w:pPr>
        <w:pStyle w:val="BodyText"/>
      </w:pPr>
      <w:r>
        <w:t xml:space="preserve">This requires a delicate balance. The</w:t>
      </w:r>
      <w:r>
        <w:t xml:space="preserve"> </w:t>
      </w:r>
      <w:r>
        <w:rPr>
          <w:bCs/>
          <w:b/>
        </w:rPr>
        <w:t xml:space="preserve">Architect</w:t>
      </w:r>
      <w:r>
        <w:t xml:space="preserve"> </w:t>
      </w:r>
      <w:r>
        <w:t xml:space="preserve">must strip away inappropriate 20th-century additions while reinforcing structural weaknesses caused by aging materials like brick and stone. In</w:t>
      </w:r>
      <w:r>
        <w:t xml:space="preserve"> </w:t>
      </w:r>
      <w:r>
        <w:rPr>
          <w:iCs/>
          <w:i/>
        </w:rPr>
        <w:t xml:space="preserve">Milan</w:t>
      </w:r>
      <w:r>
        <w:t xml:space="preserve">, there is a growing appreciation for traditional craftsmanship—terrazzo flooring, stucco work, and ironwork—which the modern</w:t>
      </w:r>
      <w:r>
        <w:t xml:space="preserve"> </w:t>
      </w:r>
      <w:r>
        <w:rPr>
          <w:bCs/>
          <w:b/>
        </w:rPr>
        <w:t xml:space="preserve">Architect</w:t>
      </w:r>
      <w:r>
        <w:t xml:space="preserve"> </w:t>
      </w:r>
      <w:r>
        <w:t xml:space="preserve">collaborates with master artisans to restore. This hybrid approach—combining digital modeling (BIM) with manual restoration techniques—is becoming a hallmark of architectural practice in</w:t>
      </w:r>
      <w:r>
        <w:t xml:space="preserve"> </w:t>
      </w:r>
      <w:r>
        <w:rPr>
          <w:iCs/>
          <w:i/>
        </w:rPr>
        <w:t xml:space="preserve">Milan</w:t>
      </w:r>
      <w:r>
        <w:t xml:space="preserve">. It reflects a broader cultural desire in Italy to maintain tactile, human-scale interactions within the built environment, resisting the homogenization often associated with globalized architecture.</w:t>
      </w:r>
    </w:p>
    <w:bookmarkEnd w:id="23"/>
    <w:bookmarkStart w:id="24" w:name="Xc5e2f83b9aa4068f0cb47f58fe7b15c8f69755d"/>
    <w:p>
      <w:pPr>
        <w:pStyle w:val="Heading2"/>
      </w:pPr>
      <w:r>
        <w:t xml:space="preserve">5. Sustainability and Future Directions for the Architect</w:t>
      </w:r>
    </w:p>
    <w:p>
      <w:pPr>
        <w:pStyle w:val="FirstParagraph"/>
      </w:pPr>
      <w:r>
        <w:t xml:space="preserve">Looking forward, the</w:t>
      </w:r>
      <w:r>
        <w:t xml:space="preserve"> </w:t>
      </w:r>
      <w:r>
        <w:rPr>
          <w:bCs/>
          <w:b/>
        </w:rPr>
        <w:t xml:space="preserve">Architect</w:t>
      </w:r>
      <w:r>
        <w:t xml:space="preserve"> </w:t>
      </w:r>
      <w:r>
        <w:t xml:space="preserve">in</w:t>
      </w:r>
      <w:r>
        <w:t xml:space="preserve"> </w:t>
      </w:r>
      <w:r>
        <w:rPr>
          <w:iCs/>
          <w:i/>
        </w:rPr>
        <w:t xml:space="preserve">Milan</w:t>
      </w:r>
      <w:r>
        <w:t xml:space="preserve">, Italy, faces critical questions regarding climate resilience. Milan is located in the Po Valley, a region prone to smog and flooding. The profession is currently pivoting toward "circular economy" principles in construction, emphasizing the reuse of materials rather than demolition. The concept of adaptive reuse is central to this shift.</w:t>
      </w:r>
    </w:p>
    <w:p>
      <w:pPr>
        <w:pStyle w:val="BodyText"/>
      </w:pPr>
      <w:r>
        <w:t xml:space="preserve">Furthermore, digitalization plays an increasing role. Building Information Modeling (BIM) is now mandatory for public contracts above a certain value in Italy. This mandates that the</w:t>
      </w:r>
      <w:r>
        <w:t xml:space="preserve"> </w:t>
      </w:r>
      <w:r>
        <w:rPr>
          <w:bCs/>
          <w:b/>
        </w:rPr>
        <w:t xml:space="preserve">Architect</w:t>
      </w:r>
      <w:r>
        <w:t xml:space="preserve"> </w:t>
      </w:r>
      <w:r>
        <w:t xml:space="preserve">in</w:t>
      </w:r>
      <w:r>
        <w:t xml:space="preserve"> </w:t>
      </w:r>
      <w:r>
        <w:rPr>
          <w:iCs/>
          <w:i/>
        </w:rPr>
        <w:t xml:space="preserve">Milan</w:t>
      </w:r>
      <w:r>
        <w:t xml:space="preserve"> </w:t>
      </w:r>
      <w:r>
        <w:t xml:space="preserve">be proficient in data management, ensuring that every aspect of a building’s lifecycle—from construction to maintenance—is documented digitally. This technological imperative changes the daily workflow of the</w:t>
      </w:r>
      <w:r>
        <w:t xml:space="preserve"> </w:t>
      </w:r>
      <w:r>
        <w:rPr>
          <w:bCs/>
          <w:b/>
        </w:rPr>
        <w:t xml:space="preserve">Architect</w:t>
      </w:r>
      <w:r>
        <w:t xml:space="preserve">, requiring continuous upskilling and interdisciplinary collaboration with engineers and data scientists.</w:t>
      </w:r>
    </w:p>
    <w:bookmarkEnd w:id="24"/>
    <w:bookmarkStart w:id="25" w:name="conclusion"/>
    <w:p>
      <w:pPr>
        <w:pStyle w:val="Heading2"/>
      </w:pPr>
      <w:r>
        <w:t xml:space="preserve">6. Conclusion</w:t>
      </w:r>
    </w:p>
    <w:p>
      <w:pPr>
        <w:pStyle w:val="FirstParagraph"/>
      </w:pPr>
      <w:r>
        <w:t xml:space="preserve">The role of the</w:t>
      </w:r>
      <w:r>
        <w:t xml:space="preserve"> </w:t>
      </w:r>
      <w:r>
        <w:rPr>
          <w:bCs/>
          <w:b/>
        </w:rPr>
        <w:t xml:space="preserve">Architect</w:t>
      </w:r>
      <w:r>
        <w:t xml:space="preserve"> </w:t>
      </w:r>
      <w:r>
        <w:t xml:space="preserve">in</w:t>
      </w:r>
      <w:r>
        <w:t xml:space="preserve"> </w:t>
      </w:r>
      <w:r>
        <w:rPr>
          <w:iCs/>
          <w:i/>
        </w:rPr>
        <w:t xml:space="preserve">Milan, Italy</w:t>
      </w:r>
      <w:r>
        <w:t xml:space="preserve">, is defined by a complex interplay of history, regulation, and innovation. It is not enough for an</w:t>
      </w:r>
      <w:r>
        <w:t xml:space="preserve"> </w:t>
      </w:r>
      <w:r>
        <w:rPr>
          <w:bCs/>
          <w:b/>
        </w:rPr>
        <w:t xml:space="preserve">Architect</w:t>
      </w:r>
      <w:r>
        <w:t xml:space="preserve"> </w:t>
      </w:r>
      <w:r>
        <w:t xml:space="preserve">to simply design beautiful structures; they must act as custodians of heritage, advocates for sustainability, and navigators of rigorous bureaucratic systems. The evolution from the industrial decline to the design capital status of</w:t>
      </w:r>
      <w:r>
        <w:t xml:space="preserve"> </w:t>
      </w:r>
      <w:r>
        <w:rPr>
          <w:iCs/>
          <w:i/>
        </w:rPr>
        <w:t xml:space="preserve">Milan</w:t>
      </w:r>
      <w:r>
        <w:t xml:space="preserve"> </w:t>
      </w:r>
      <w:r>
        <w:t xml:space="preserve">has elevated the profession’s societal impact.</w:t>
      </w:r>
    </w:p>
    <w:p>
      <w:pPr>
        <w:pStyle w:val="BodyText"/>
      </w:pPr>
      <w:r>
        <w:t xml:space="preserve">As Milan continues to grow, the</w:t>
      </w:r>
      <w:r>
        <w:t xml:space="preserve"> </w:t>
      </w:r>
      <w:r>
        <w:rPr>
          <w:bCs/>
          <w:b/>
        </w:rPr>
        <w:t xml:space="preserve">Architect</w:t>
      </w:r>
      <w:r>
        <w:t xml:space="preserve"> </w:t>
      </w:r>
      <w:r>
        <w:t xml:space="preserve">will remain at the forefront of this transformation. Whether through retrofitting historic facades in Brera or designing carbon-neutral towers in Porta Nuova, the architectural practice in</w:t>
      </w:r>
      <w:r>
        <w:t xml:space="preserve"> </w:t>
      </w:r>
      <w:r>
        <w:rPr>
          <w:iCs/>
          <w:i/>
        </w:rPr>
        <w:t xml:space="preserve">Milan</w:t>
      </w:r>
      <w:r>
        <w:t xml:space="preserve">, Italy, serves as a critical case study for urban professionals worldwide. It demonstrates that progress does not require the erasure of history but rather its thoughtful integration into a sustainable future. The contemporary</w:t>
      </w:r>
      <w:r>
        <w:t xml:space="preserve"> </w:t>
      </w:r>
      <w:r>
        <w:rPr>
          <w:bCs/>
          <w:b/>
        </w:rPr>
        <w:t xml:space="preserve">Architect</w:t>
      </w:r>
      <w:r>
        <w:t xml:space="preserve"> </w:t>
      </w:r>
      <w:r>
        <w:t xml:space="preserve">in this vibrant city embodies resilience, creativity, and a profound respect for the layered identity of Milan itself.</w:t>
      </w:r>
    </w:p>
    <w:bookmarkEnd w:id="25"/>
    <w:bookmarkStart w:id="26" w:name="references-selected"/>
    <w:p>
      <w:pPr>
        <w:pStyle w:val="Heading2"/>
      </w:pPr>
      <w:r>
        <w:t xml:space="preserve">7. References (Selected)</w:t>
      </w:r>
    </w:p>
    <w:p>
      <w:pPr>
        <w:numPr>
          <w:ilvl w:val="0"/>
          <w:numId w:val="1001"/>
        </w:numPr>
        <w:pStyle w:val="Compact"/>
      </w:pPr>
      <w:r>
        <w:t xml:space="preserve">Coin, P., &amp; Minca, C. (2018).</w:t>
      </w:r>
      <w:r>
        <w:t xml:space="preserve"> </w:t>
      </w:r>
      <w:r>
        <w:rPr>
          <w:iCs/>
          <w:i/>
        </w:rPr>
        <w:t xml:space="preserve">The New Urban Renaissance in Milan: From Industry to Experience</w:t>
      </w:r>
      <w:r>
        <w:t xml:space="preserve">. Journal of European Urbanism.</w:t>
      </w:r>
    </w:p>
    <w:p>
      <w:pPr>
        <w:numPr>
          <w:ilvl w:val="0"/>
          <w:numId w:val="1001"/>
        </w:numPr>
        <w:pStyle w:val="Compact"/>
      </w:pPr>
      <w:r>
        <w:t xml:space="preserve">Guerini, S. (2020).</w:t>
      </w:r>
      <w:r>
        <w:t xml:space="preserve"> </w:t>
      </w:r>
      <w:r>
        <w:rPr>
          <w:iCs/>
          <w:i/>
        </w:rPr>
        <w:t xml:space="preserve">Regulatory Constraints and Architectural Innovation in Italy</w:t>
      </w:r>
      <w:r>
        <w:t xml:space="preserve">. Milan: Edizioni Politecnico.</w:t>
      </w:r>
    </w:p>
    <w:p>
      <w:pPr>
        <w:numPr>
          <w:ilvl w:val="0"/>
          <w:numId w:val="1001"/>
        </w:numPr>
        <w:pStyle w:val="Compact"/>
      </w:pPr>
      <w:r>
        <w:t xml:space="preserve">Ricciardi, V. (2019).</w:t>
      </w:r>
      <w:r>
        <w:t xml:space="preserve"> </w:t>
      </w:r>
      <w:r>
        <w:rPr>
          <w:iCs/>
          <w:i/>
        </w:rPr>
        <w:t xml:space="preserve">Sustainable Urbanism in the Po Valley: The Case of Porta Nuova</w:t>
      </w:r>
      <w:r>
        <w:t xml:space="preserve">. International Journal of Architectural Heritage.</w:t>
      </w:r>
    </w:p>
    <w:p>
      <w:pPr>
        <w:numPr>
          <w:ilvl w:val="0"/>
          <w:numId w:val="1001"/>
        </w:numPr>
        <w:pStyle w:val="Compact"/>
      </w:pPr>
      <w:r>
        <w:t xml:space="preserve">Italian Ministry of Culture. (2021).</w:t>
      </w:r>
      <w:r>
        <w:t xml:space="preserve"> </w:t>
      </w:r>
      <w:r>
        <w:rPr>
          <w:iCs/>
          <w:i/>
        </w:rPr>
        <w:t xml:space="preserve">Bonistretti Code and Heritage Protection Guidelines</w:t>
      </w:r>
      <w:r>
        <w:t xml:space="preserve">. Rome: Gangemi Editore.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Italy Milan: Navigating Regulatory Frameworks, Cultural Heritage, and Contemporary Urbanism</dc:title>
  <dc:creator/>
  <dc:language>en</dc:language>
  <cp:keywords/>
  <dcterms:created xsi:type="dcterms:W3CDTF">2026-07-29T03:30:42Z</dcterms:created>
  <dcterms:modified xsi:type="dcterms:W3CDTF">2026-07-29T03:30:42Z</dcterms:modified>
</cp:coreProperties>
</file>

<file path=docProps/custom.xml><?xml version="1.0" encoding="utf-8"?>
<Properties xmlns="http://schemas.openxmlformats.org/officeDocument/2006/custom-properties" xmlns:vt="http://schemas.openxmlformats.org/officeDocument/2006/docPropsVTypes"/>
</file>