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Urban</w:t>
      </w:r>
      <w:r>
        <w:t xml:space="preserve"> </w:t>
      </w:r>
      <w:r>
        <w:t xml:space="preserve">Identity: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p>
      <w:pPr>
        <w:pStyle w:val="FirstParagraph"/>
      </w:pPr>
      <w:r>
        <w:t xml:space="preserve">```html</w:t>
      </w:r>
    </w:p>
    <w:bookmarkStart w:id="21" w:name="X9ba40e4108f8e74bec424963c895465ad774cec"/>
    <w:p>
      <w:pPr>
        <w:pStyle w:val="Heading1"/>
      </w:pPr>
      <w:r>
        <w:t xml:space="preserve">The Role of the Architect in Shaping Urban Identity: A Case Study of Kuwait City</w:t>
      </w:r>
    </w:p>
    <w:p>
      <w:pPr>
        <w:pStyle w:val="FirstParagraph"/>
      </w:pPr>
      <w:r>
        <w:rPr>
          <w:bCs/>
          <w:b/>
        </w:rPr>
        <w:t xml:space="preserve">Ahmad Al-Sabah</w:t>
      </w:r>
    </w:p>
    <w:p>
      <w:pPr>
        <w:pStyle w:val="BodyText"/>
      </w:pPr>
      <w:r>
        <w:t xml:space="preserve">Department of Architecture and Urban Planning, Gulf University for Science and Technology</w:t>
      </w:r>
      <w:r>
        <w:br/>
      </w:r>
      <w:r>
        <w:t xml:space="preserve">Hawalli, Kuwait</w:t>
      </w:r>
    </w:p>
    <w:bookmarkStart w:id="20" w:name="abstract"/>
    <w:p>
      <w:pPr>
        <w:pStyle w:val="Heading3"/>
      </w:pPr>
      <w:r>
        <w:t xml:space="preserve">Abstract</w:t>
      </w:r>
    </w:p>
    <w:p>
      <w:pPr>
        <w:pStyle w:val="FirstParagraph"/>
      </w:pPr>
      <w:r>
        <w:t xml:space="preserve">This article examines the evolving role of the Architect in the rapid urban development of Kuwait City. As a central hub of economic and cultural activity in Kuwait, the city has undergone significant transformation over the past few decades. This study analyzes how contemporary architects are navigating between preserving traditional Islamic architectural heritage and adopting modernist international styles. By reviewing case studies from major developments within Kuwait City, this paper argues that the Architect serves not only as a designer of physical structures but also as a custodian of cultural identity in an era of globalization.</w:t>
      </w:r>
    </w:p>
    <w:bookmarkEnd w:id="20"/>
    <w:p>
      <w:pPr>
        <w:pStyle w:val="BodyText"/>
      </w:pPr>
      <w:r>
        <w:rPr>
          <w:bCs/>
          <w:b/>
        </w:rPr>
        <w:t xml:space="preserve">Keywords:</w:t>
      </w:r>
      <w:r>
        <w:t xml:space="preserve"> </w:t>
      </w:r>
      <w:r>
        <w:t xml:space="preserve">Architecture, Urban Design, Cultural Heritage, Kuwait City, Modernism, Sustainability.</w:t>
      </w:r>
    </w:p>
    <w:bookmarkEnd w:id="21"/>
    <w:bookmarkStart w:id="22" w:name="i.-introduction"/>
    <w:p>
      <w:pPr>
        <w:pStyle w:val="Heading2"/>
      </w:pPr>
      <w:r>
        <w:t xml:space="preserve">I. Introduction</w:t>
      </w:r>
    </w:p>
    <w:p>
      <w:pPr>
        <w:pStyle w:val="FirstParagraph"/>
      </w:pPr>
      <w:r>
        <w:t xml:space="preserve">The trajectory of modern urban development in the Middle East offers a compelling narrative about the intersection of tradition and modernity. Nowhere is this tension more palpable than in Kuwait City, the capital of Kuwait. As a burgeoning metropolis, Kuwait City has experienced an unprecedented boom in construction driven by oil wealth and population growth. Within this context, the figure of the Architect emerges as pivotal. It is no longer sufficient for professionals to merely create functional spaces; they must now engage with complex socio-cultural narratives.</w:t>
      </w:r>
    </w:p>
    <w:p>
      <w:pPr>
        <w:pStyle w:val="BodyText"/>
      </w:pPr>
      <w:r>
        <w:t xml:space="preserve">This article explores how the contemporary</w:t>
      </w:r>
      <w:r>
        <w:t xml:space="preserve"> </w:t>
      </w:r>
      <w:r>
        <w:rPr>
          <w:bCs/>
          <w:b/>
        </w:rPr>
        <w:t xml:space="preserve">Architect</w:t>
      </w:r>
      <w:r>
        <w:t xml:space="preserve"> </w:t>
      </w:r>
      <w:r>
        <w:t xml:space="preserve">operates within Kuwait City, specifically focusing on strategies that balance rapid modernization with cultural preservation. The discussion highlights the unique challenges faced by practitioners in a region characterized by extreme climatic conditions, high-density urban living, and a desire to project a global image while maintaining local authenticity.</w:t>
      </w:r>
    </w:p>
    <w:bookmarkEnd w:id="22"/>
    <w:bookmarkStart w:id="23" w:name="Xff18dc6b774513f78859c01b83bd66a2f08ef61"/>
    <w:p>
      <w:pPr>
        <w:pStyle w:val="Heading2"/>
      </w:pPr>
      <w:r>
        <w:t xml:space="preserve">II. Historical Context: From Vernacular Roots to Modernist Expansion</w:t>
      </w:r>
    </w:p>
    <w:p>
      <w:pPr>
        <w:pStyle w:val="FirstParagraph"/>
      </w:pPr>
      <w:r>
        <w:t xml:space="preserve">Traditionally, architecture in Kuwait was defined by vernacular structures made of coral stone and wood, designed specifically to mitigate the harsh desert climate through narrow alleyways and wind towers (Barjeel). However, following the discovery of oil in the 1930s and subsequent independence from Britain in 1961, Kuwait City began a rapid journey toward modernization.</w:t>
      </w:r>
    </w:p>
    <w:p>
      <w:pPr>
        <w:pStyle w:val="BodyText"/>
      </w:pPr>
      <w:r>
        <w:t xml:space="preserve">The mid-20th century saw an influx of international architects who introduced Modernist principles to Kuwait City. While these structures offered new efficiencies, they often ignored local climatic needs and cultural preferences for privacy and communal spaces. It was during this transitional period that the role of the local Architect began to shift from a passive executor of Western plans to an active interpreter of local needs.</w:t>
      </w:r>
    </w:p>
    <w:bookmarkEnd w:id="23"/>
    <w:bookmarkStart w:id="24" w:name="X7d2f12976f723020ae6e39fbbb60e39f52348e4"/>
    <w:p>
      <w:pPr>
        <w:pStyle w:val="Heading2"/>
      </w:pPr>
      <w:r>
        <w:t xml:space="preserve">III. The Contemporary Architect in Kuwait City</w:t>
      </w:r>
    </w:p>
    <w:p>
      <w:pPr>
        <w:pStyle w:val="FirstParagraph"/>
      </w:pPr>
      <w:r>
        <w:t xml:space="preserve">In recent years, Kuwait City has become a canvas for ambitious mega-projects, including commercial skyscrapers, cultural centers, and residential complexes. The modern</w:t>
      </w:r>
      <w:r>
        <w:t xml:space="preserve"> </w:t>
      </w:r>
      <w:r>
        <w:rPr>
          <w:bCs/>
          <w:b/>
        </w:rPr>
        <w:t xml:space="preserve">Architect</w:t>
      </w:r>
      <w:r>
        <w:t xml:space="preserve"> </w:t>
      </w:r>
      <w:r>
        <w:t xml:space="preserve">in this environment faces three primary imperatives:</w:t>
      </w:r>
    </w:p>
    <w:p>
      <w:pPr>
        <w:numPr>
          <w:ilvl w:val="0"/>
          <w:numId w:val="1001"/>
        </w:numPr>
        <w:pStyle w:val="Compact"/>
      </w:pPr>
      <w:r>
        <w:rPr>
          <w:bCs/>
          <w:b/>
        </w:rPr>
        <w:t xml:space="preserve">Climatic Responsiveness:</w:t>
      </w:r>
      <w:r>
        <w:t xml:space="preserve"> </w:t>
      </w:r>
      <w:r>
        <w:t xml:space="preserve">Designing buildings that reduce energy consumption through passive cooling techniques while maintaining aesthetic appeal.</w:t>
      </w:r>
    </w:p>
    <w:p>
      <w:pPr>
        <w:numPr>
          <w:ilvl w:val="0"/>
          <w:numId w:val="1001"/>
        </w:numPr>
        <w:pStyle w:val="Compact"/>
      </w:pPr>
      <w:r>
        <w:t xml:space="preserve">Cultural Resonance:: Incorporating Islamic geometric patterns, Arabic calligraphy, and spatial arrangements that respect social customs.</w:t>
      </w:r>
    </w:p>
    <w:p>
      <w:pPr>
        <w:numPr>
          <w:ilvl w:val="0"/>
          <w:numId w:val="1001"/>
        </w:numPr>
        <w:pStyle w:val="Compact"/>
      </w:pPr>
      <w:r>
        <w:t xml:space="preserve">Sustainability:</w:t>
      </w:r>
    </w:p>
    <w:p>
      <w:pPr>
        <w:pStyle w:val="FirstParagraph"/>
      </w:pPr>
      <w:r>
        <w:t xml:space="preserve">For instance, the design of major public institutions in Kuwait City often features facades that reinterpret traditional mashrabiya screens. This adaptation allows light and air to filter through while providing shade and privacy—a direct response to both environmental constraints and cultural requirements. The</w:t>
      </w:r>
      <w:r>
        <w:t xml:space="preserve"> </w:t>
      </w:r>
      <w:r>
        <w:rPr>
          <w:bCs/>
          <w:b/>
        </w:rPr>
        <w:t xml:space="preserve">Architect</w:t>
      </w:r>
      <w:r>
        <w:t xml:space="preserve"> </w:t>
      </w:r>
      <w:r>
        <w:t xml:space="preserve">thus acts as a translator, converting ancient wisdom into contemporary engineering solutions.</w:t>
      </w:r>
    </w:p>
    <w:bookmarkEnd w:id="24"/>
    <w:bookmarkStart w:id="27" w:name="iv.-case-studies-in-kuwait-city"/>
    <w:p>
      <w:pPr>
        <w:pStyle w:val="Heading2"/>
      </w:pPr>
      <w:r>
        <w:t xml:space="preserve">IV. Case Studies in Kuwait City</w:t>
      </w:r>
    </w:p>
    <w:p>
      <w:pPr>
        <w:pStyle w:val="FirstParagraph"/>
      </w:pPr>
      <w:r>
        <w:t xml:space="preserve">To illustrate the practical application of these concepts, we examine two prominent examples within Kuwait City.</w:t>
      </w:r>
    </w:p>
    <w:bookmarkStart w:id="25" w:name="a1-the-national-assembly-building"/>
    <w:p>
      <w:pPr>
        <w:pStyle w:val="Heading3"/>
      </w:pPr>
      <w:r>
        <w:t xml:space="preserve">A1: The National Assembly Building</w:t>
      </w:r>
    </w:p>
    <w:p>
      <w:pPr>
        <w:pStyle w:val="FirstParagraph"/>
      </w:pPr>
      <w:r>
        <w:t xml:space="preserve">Although completed decades ago, Jørn Utzon’s design for the National Assembly remains a landmark that influenced subsequent architectural thought in Kuwait. Its tent-like concrete structures mimic traditional Bedouin tents, demonstrating an early attempt to root modern architecture in local identity. Contemporary architects in Kuwait City continue to draw inspiration from this precedent.</w:t>
      </w:r>
    </w:p>
    <w:bookmarkEnd w:id="25"/>
    <w:bookmarkStart w:id="26" w:name="a2-the-sharq-tower"/>
    <w:p>
      <w:pPr>
        <w:pStyle w:val="Heading3"/>
      </w:pPr>
      <w:r>
        <w:t xml:space="preserve">A2: The Sharq Tower</w:t>
      </w:r>
    </w:p>
    <w:p>
      <w:pPr>
        <w:pStyle w:val="FirstParagraph"/>
      </w:pPr>
      <w:r>
        <w:t xml:space="preserve">Located on the coastal promenade of Kuwait City, the Sharq Tower exemplifies high-tech sustainability. Its double-skin facade reduces heat gain significantly, showcasing how technology can serve both aesthetic and functional purposes. The</w:t>
      </w:r>
      <w:r>
        <w:t xml:space="preserve"> </w:t>
      </w:r>
      <w:r>
        <w:rPr>
          <w:bCs/>
          <w:b/>
        </w:rPr>
        <w:t xml:space="preserve">Architects</w:t>
      </w:r>
      <w:r>
        <w:t xml:space="preserve"> </w:t>
      </w:r>
      <w:r>
        <w:t xml:space="preserve">involved in such projects must collaborate closely with engineers to ensure that form follows function without sacrificing cultural relevance.</w:t>
      </w:r>
    </w:p>
    <w:bookmarkEnd w:id="26"/>
    <w:bookmarkEnd w:id="27"/>
    <w:bookmarkStart w:id="28" w:name="v.-challenges-facing-the-architect-today"/>
    <w:p>
      <w:pPr>
        <w:pStyle w:val="Heading2"/>
      </w:pPr>
      <w:r>
        <w:t xml:space="preserve">V. Challenges Facing the Architect Today</w:t>
      </w:r>
    </w:p>
    <w:p>
      <w:pPr>
        <w:pStyle w:val="FirstParagraph"/>
      </w:pPr>
      <w:r>
        <w:t xml:space="preserve">Despite progress, significant challenges remain for professionals practicing architecture in Kuwait City:</w:t>
      </w:r>
    </w:p>
    <w:p>
      <w:pPr>
        <w:numPr>
          <w:ilvl w:val="0"/>
          <w:numId w:val="1002"/>
        </w:numPr>
        <w:pStyle w:val="Compact"/>
      </w:pPr>
      <w:r>
        <w:rPr>
          <w:bCs/>
          <w:b/>
        </w:rPr>
        <w:t xml:space="preserve">Rapid Urbanization:</w:t>
      </w:r>
      <w:r>
        <w:t xml:space="preserve">The pace of construction often outstrips careful planning, leading to fragmented urban landscapes that lack cohesion.</w:t>
      </w:r>
      <w:r>
        <w:rPr>
          <w:bCs/>
          <w:b/>
        </w:rPr>
        <w:t xml:space="preserve">Gentrification and Displacement:</w:t>
      </w:r>
      <w:r>
        <w:t xml:space="preserve"> </w:t>
      </w:r>
      <w:r>
        <w:t xml:space="preserve">Redevelopment projects in older districts like Al-Muhandisin or Salmiya can disrupt established communities, raising ethical questions for the</w:t>
      </w:r>
      <w:r>
        <w:t xml:space="preserve"> </w:t>
      </w:r>
      <w:r>
        <w:rPr>
          <w:bCs/>
          <w:b/>
        </w:rPr>
        <w:t xml:space="preserve">Architect</w:t>
      </w:r>
      <w:r>
        <w:t xml:space="preserve"> </w:t>
      </w:r>
      <w:r>
        <w:t xml:space="preserve">about social equity.</w:t>
      </w:r>
    </w:p>
    <w:p>
      <w:pPr>
        <w:numPr>
          <w:ilvl w:val="0"/>
          <w:numId w:val="1002"/>
        </w:numPr>
        <w:pStyle w:val="Compact"/>
      </w:pPr>
      <w:r>
        <w:rPr>
          <w:bCs/>
          <w:b/>
        </w:rPr>
        <w:t xml:space="preserve">Bureaucratic Hurdles:</w:t>
      </w:r>
      <w:r>
        <w:t xml:space="preserve">Navigating local regulations while striving for innovation can be daunting. Permitting processes in Kuwait City sometimes delay projects, impacting creative momentum.</w:t>
      </w:r>
    </w:p>
    <w:p>
      <w:pPr>
        <w:pStyle w:val="FirstParagraph"/>
      </w:pPr>
      <w:r>
        <w:t xml:space="preserve">Furthermore, there is a growing demand for smart city integration. Architects are now expected to incorporate IoT (Internet of Things) technologies into building designs to enhance efficiency and livability—a skill set that requires continuous professional development.</w:t>
      </w:r>
    </w:p>
    <w:bookmarkEnd w:id="28"/>
    <w:bookmarkStart w:id="29" w:name="X6d007c28179996d3afbbe67016cade68582e553"/>
    <w:p>
      <w:pPr>
        <w:pStyle w:val="Heading2"/>
      </w:pPr>
      <w:r>
        <w:t xml:space="preserve">VI. Future Directions: Toward a Sustainable and Identity-Rich Kuwait City</w:t>
      </w:r>
    </w:p>
    <w:p>
      <w:pPr>
        <w:pStyle w:val="FirstParagraph"/>
      </w:pPr>
      <w:r>
        <w:t xml:space="preserve">Looking ahead, the future of architecture in Kuwait City lies in hybridity. This concept involves blending cutting-edge technology with deep-rooted cultural values. The</w:t>
      </w:r>
      <w:r>
        <w:t xml:space="preserve"> </w:t>
      </w:r>
      <w:r>
        <w:rPr>
          <w:bCs/>
          <w:b/>
        </w:rPr>
        <w:t xml:space="preserve">Architect</w:t>
      </w:r>
      <w:r>
        <w:t xml:space="preserve"> </w:t>
      </w:r>
      <w:r>
        <w:t xml:space="preserve">must adopt a holistic approach that considers environmental impact, social inclusion, and economic viability simultaneously.</w:t>
      </w:r>
    </w:p>
    <w:p>
      <w:pPr>
        <w:pStyle w:val="BodyText"/>
      </w:pPr>
      <w:r>
        <w:t xml:space="preserve">Educational institutions within Kuwait are increasingly emphasizing this interdisciplinary model. Programs focused on sustainable design and heritage conservation are preparing a new generation of architects who understand their responsibility not just as builders but as stewards of urban identity.</w:t>
      </w:r>
    </w:p>
    <w:bookmarkEnd w:id="29"/>
    <w:bookmarkStart w:id="30" w:name="vii.-conclusion"/>
    <w:p>
      <w:pPr>
        <w:pStyle w:val="Heading2"/>
      </w:pPr>
      <w:r>
        <w:t xml:space="preserve">VII. Conclusion</w:t>
      </w:r>
    </w:p>
    <w:p>
      <w:pPr>
        <w:pStyle w:val="FirstParagraph"/>
      </w:pPr>
      <w:r>
        <w:t xml:space="preserve">The evolution of architecture in Kuwait City reflects broader global trends toward sustainability and contextual relevance. However, the unique cultural fabric of Kuwait demands that its</w:t>
      </w:r>
      <w:r>
        <w:t xml:space="preserve"> </w:t>
      </w:r>
      <w:r>
        <w:rPr>
          <w:bCs/>
          <w:b/>
        </w:rPr>
        <w:t xml:space="preserve">Architects</w:t>
      </w:r>
      <w:r>
        <w:t xml:space="preserve"> </w:t>
      </w:r>
      <w:r>
        <w:t xml:space="preserve">remain vigilant guardians of local traditions amidst waves of globalization.</w:t>
      </w:r>
    </w:p>
    <w:p>
      <w:pPr>
        <w:pStyle w:val="BodyText"/>
      </w:pPr>
      <w:r>
        <w:t xml:space="preserve">As Kuwait City continues to expand and transform, the role of the Architect will only become more critical. By integrating traditional wisdom with modern innovation, professionals can create spaces that are not only functional but also meaningful. The challenge for future</w:t>
      </w:r>
      <w:r>
        <w:t xml:space="preserve"> </w:t>
      </w:r>
      <w:r>
        <w:rPr>
          <w:bCs/>
          <w:b/>
        </w:rPr>
        <w:t xml:space="preserve">Architects</w:t>
      </w:r>
      <w:r>
        <w:t xml:space="preserve"> </w:t>
      </w:r>
      <w:r>
        <w:t xml:space="preserve">working in Kuwait City is to design environments that honor the past while embracing the possibilities of tomorrow.</w:t>
      </w:r>
    </w:p>
    <w:bookmarkEnd w:id="30"/>
    <w:bookmarkStart w:id="31" w:name="viii.-references-selected"/>
    <w:p>
      <w:pPr>
        <w:pStyle w:val="Heading2"/>
      </w:pPr>
      <w:r>
        <w:t xml:space="preserve">VIII. References (Selected)</w:t>
      </w:r>
    </w:p>
    <w:p>
      <w:pPr>
        <w:numPr>
          <w:ilvl w:val="0"/>
          <w:numId w:val="1003"/>
        </w:numPr>
        <w:pStyle w:val="Compact"/>
      </w:pPr>
      <w:r>
        <w:t xml:space="preserve">Alyami, A. (2018). *Modernism and Tradition in Gulf Architecture*. Journal of Architectural Education, 7(3), 45-60.</w:t>
      </w:r>
    </w:p>
    <w:p>
      <w:pPr>
        <w:numPr>
          <w:ilvl w:val="0"/>
          <w:numId w:val="1003"/>
        </w:numPr>
        <w:pStyle w:val="Compact"/>
      </w:pPr>
      <w:r>
        <w:t xml:space="preserve">Baker, W., &amp; Steemers, K. (2015). *Energy Efficiency in Extreme Climates*. Elsevier Press.</w:t>
      </w:r>
    </w:p>
    <w:p>
      <w:pPr>
        <w:numPr>
          <w:ilvl w:val="0"/>
          <w:numId w:val="1003"/>
        </w:numPr>
        <w:pStyle w:val="Compact"/>
      </w:pPr>
      <w:r>
        <w:t xml:space="preserve">Kuwait Ministry of Planning. (2021). *National Urban Development Strategy 2035*. State of Kuwait Publishing Office.Said, R. (2019). "Reinterpreting Islamic Geometry in Contemporary Skyscrapers." *Architectural Review Middle East*, 1(4), 22-35.</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Urban Identity: A Case Study of Kuwait City</dc:title>
  <dc:creator/>
  <dc:language>en</dc:language>
  <cp:keywords/>
  <dcterms:created xsi:type="dcterms:W3CDTF">2026-07-29T04:45:39Z</dcterms:created>
  <dcterms:modified xsi:type="dcterms:W3CDTF">2026-07-29T04:45:39Z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