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The</w:t>
      </w:r>
      <w:r>
        <w:t xml:space="preserve"> </w:t>
      </w:r>
      <w:r>
        <w:t xml:space="preserve">Architect</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5726eb753534d688a6bb37ba3c6beb52ea69d4f"/>
    <w:p>
      <w:pPr>
        <w:pStyle w:val="Heading1"/>
      </w:pPr>
      <w:r>
        <w:t xml:space="preserve">The Evolving Paradigm of the Architect in New Zealand Auckland: Navigating Seismic, Cultural, and Climatic Complexities</w:t>
      </w:r>
    </w:p>
    <w:p>
      <w:pPr>
        <w:pStyle w:val="FirstParagraph"/>
      </w:pPr>
      <w:r>
        <w:rPr>
          <w:bCs/>
          <w:b/>
        </w:rPr>
        <w:t xml:space="preserve">Jane Doe, PhD</w:t>
      </w:r>
      <w:r>
        <w:br/>
      </w:r>
      <w:r>
        <w:t xml:space="preserve">Institute of Urban Design and Sustainable Development</w:t>
      </w:r>
      <w:r>
        <w:br/>
      </w:r>
      <w:r>
        <w:t xml:space="preserve">Auckland University of Technology</w:t>
      </w:r>
    </w:p>
    <w:p>
      <w:pPr>
        <w:pStyle w:val="BodyText"/>
      </w:pPr>
      <w:r>
        <w:rPr>
          <w:iCs/>
          <w:i/>
        </w:rPr>
        <w:t xml:space="preserve">Published in the Journal of Pacific Architecture and Built Environment, Vol. 14, Issue 3.</w:t>
      </w:r>
    </w:p>
    <w:bookmarkStart w:id="20" w:name="abstract"/>
    <w:p>
      <w:pPr>
        <w:pStyle w:val="Heading2"/>
      </w:pPr>
      <w:r>
        <w:t xml:space="preserve">Abstract</w:t>
      </w:r>
    </w:p>
    <w:p>
      <w:pPr>
        <w:pStyle w:val="BlockText"/>
      </w:pPr>
      <w:r>
        <w:t xml:space="preserve">Auckland, as the primary urban centre of New Zealand Auckland, represents a unique confluence of tectonic activity, rapid demographic growth, and deep indigenous cultural heritage. This article examines the multifaceted role of the architect within this specific geographic and socio-political context. It argues that the traditional Western model of architectural practice is insufficient for meeting the rigorous demands imposed by New Zealand Auckland’s regulatory framework and environmental challenges. The discussion focuses on three critical pillars: seismic resilience, adherence to te tiriti o Waitangi principles through collaborative design processes, and responsive climate architecture. By analyzing recent case studies in Auckland CBD developments, this paper elucidates how the modern architect must function not merely as a designer of form but as a mediator between state regulations, indigenous knowledge systems (mātauranga Māori), and community expectations.</w:t>
      </w:r>
    </w:p>
    <w:bookmarkEnd w:id="20"/>
    <w:bookmarkStart w:id="21" w:name="introduction"/>
    <w:p>
      <w:pPr>
        <w:pStyle w:val="Heading2"/>
      </w:pPr>
      <w:r>
        <w:t xml:space="preserve">1. Introduction</w:t>
      </w:r>
    </w:p>
    <w:p>
      <w:pPr>
        <w:pStyle w:val="FirstParagraph"/>
      </w:pPr>
      <w:r>
        <w:t xml:space="preserve">The profession of architecture has always been inherently local, shaped by the specific environmental conditions and cultural narratives of its region. However, in the contemporary context of New Zealand Auckland, the role of the architect has become increasingly complex. Auckland is a city defined by its volcanic landscape, situated on two major harbours in a seismically active zone. For decades post-colonial architectural practices imported Northern Hemisphere standards that failed to account for these distinct realities. Today, as New Zealand Auckland undergoes significant intensification through the Unitary Plan, the architect finds themselves at the forefront of a transformative era.</w:t>
      </w:r>
    </w:p>
    <w:p>
      <w:pPr>
        <w:pStyle w:val="BodyText"/>
      </w:pPr>
      <w:r>
        <w:t xml:space="preserve">This article posits that to serve effectively in New Zealand Auckland, an architect must transcend technical proficiency in building codes. Instead, they must adopt a holistic identity that integrates seismic engineering expertise, cultural competency regarding Te Tiriti o Waitangi obligations, and sustainable design strategies capable of addressing climate change. The following sections explore these dimensions in detail.</w:t>
      </w:r>
    </w:p>
    <w:bookmarkEnd w:id="21"/>
    <w:bookmarkStart w:id="22" w:name="seismic-resilience-and-technical-rigour"/>
    <w:p>
      <w:pPr>
        <w:pStyle w:val="Heading2"/>
      </w:pPr>
      <w:r>
        <w:t xml:space="preserve">2. Seismic Resilience and Technical Rigour</w:t>
      </w:r>
    </w:p>
    <w:p>
      <w:pPr>
        <w:pStyle w:val="FirstParagraph"/>
      </w:pPr>
      <w:r>
        <w:t xml:space="preserve">New Zealand Auckland sits within the Pacific Ring of Fire, making seismic resilience a non-negotiable prerequisite for architectural practice here. Unlike architects working in stable continental plates, those operating in New Zealand Auckland must prioritize life-safety and structural integrity above all other aesthetic considerations. The implementation of the Building Act 2004 and subsequent updates to the New Zealand Building Code (specifically Clause B1 Structure) places a heavy burden of proof on the architect.</w:t>
      </w:r>
    </w:p>
    <w:p>
      <w:pPr>
        <w:pStyle w:val="BodyText"/>
      </w:pPr>
      <w:r>
        <w:t xml:space="preserve">In this context, the architect’s role shifts from purely aesthetic formulation to technical coordination. In New Zealand Auckland projects, architects are required to collaborate early with structural engineers who specialize in base isolation and dampers. The visual language of architecture in this region is often dictated by the need for ductility and energy dissipation. Consequently, the architect must be adept at expressing these structural necessities elegantly, rather than hiding them behind facades that offer little protection against liquefaction or ground shaking common in Auckland’s soft soils.</w:t>
      </w:r>
    </w:p>
    <w:bookmarkEnd w:id="22"/>
    <w:bookmarkStart w:id="23" w:name="Xe3f08843ebbe4d06d9e259af4383e669eabf029"/>
    <w:p>
      <w:pPr>
        <w:pStyle w:val="Heading2"/>
      </w:pPr>
      <w:r>
        <w:t xml:space="preserve">3. Te Tiriti o Waitangi and Collaborative Design</w:t>
      </w:r>
    </w:p>
    <w:p>
      <w:pPr>
        <w:pStyle w:val="FirstParagraph"/>
      </w:pPr>
      <w:r>
        <w:t xml:space="preserve">A defining characteristic of practicing as an architect in New Zealand Auckland is the imperative to engage meaningfully with Tangata Whenua (people of the land). The Treaty of Waitangi, signed in 1840 between the British Crown and Māori chiefs, serves as a foundational document that influences public sector decision-making and private development alike. For the architect working in New Zealand Auckland, this translates to a requirement for genuine partnership rather than tokenistic consultation.</w:t>
      </w:r>
    </w:p>
    <w:p>
      <w:pPr>
        <w:pStyle w:val="BodyText"/>
      </w:pPr>
      <w:r>
        <w:t xml:space="preserve">This approach diverges from traditional linear design processes. In New Zealand Auckland contexts, architects are increasingly expected to employ co-design methodologies alongside iwi (tribe) representatives and local hapū (sub-tribes). This ensures that built environments reflect local narratives and respect tapu (sacred restrictions) and noa (free from restrictions) spaces. Failure to engage respectfully with these cultural protocols can lead to significant project delays, legal challenges, and reputational damage. Thus, the architect in New Zealand Auckland acts as a cultural mediator, translating community values into spatial configurations that honour indigenous heritage while facilitating modern urban living.</w:t>
      </w:r>
    </w:p>
    <w:bookmarkEnd w:id="23"/>
    <w:bookmarkStart w:id="24" w:name="Xd2cddb78a136f135d26b016567796d5244c6c68"/>
    <w:p>
      <w:pPr>
        <w:pStyle w:val="Heading2"/>
      </w:pPr>
      <w:r>
        <w:t xml:space="preserve">4. Environmental Sustainability and Climate Responsiveness</w:t>
      </w:r>
    </w:p>
    <w:p>
      <w:pPr>
        <w:pStyle w:val="FirstParagraph"/>
      </w:pPr>
      <w:r>
        <w:t xml:space="preserve">New Zealand Auckland faces unique environmental challenges, including rising sea levels threatening its coastal suburbs and increased frequency of extreme weather events. The role of the architect in New Zealand Auckland is consequently tied to sustainable development goals that go beyond energy efficiency ratings. Architects must consider site-specific microclimates, such as the urban heat island effect prevalent in dense Auckland areas.</w:t>
      </w:r>
    </w:p>
    <w:p>
      <w:pPr>
        <w:pStyle w:val="BodyText"/>
      </w:pPr>
      <w:r>
        <w:t xml:space="preserve">Sustainable architecture in this region also involves material sourcing and carbon reduction strategies aligned with New Zealand’s commitment to reaching net-zero emissions by 2050. The use of native timber from sustainably managed forests is encouraged, but must be balanced against the need for durability in high-humidity environments typical of New Zealand Auckland. Furthermore, architects are tasked with designing flexible spaces that can adapt to future climate scenarios, ensuring longevity and reduced waste.</w:t>
      </w:r>
    </w:p>
    <w:bookmarkEnd w:id="24"/>
    <w:bookmarkStart w:id="25" w:name="X8a7215dcd9c8dbdcc97ab01dff0262cde8b34d7"/>
    <w:p>
      <w:pPr>
        <w:pStyle w:val="Heading2"/>
      </w:pPr>
      <w:r>
        <w:t xml:space="preserve">5. Regulatory Navigation and Urban Intensification</w:t>
      </w:r>
    </w:p>
    <w:p>
      <w:pPr>
        <w:pStyle w:val="FirstParagraph"/>
      </w:pPr>
      <w:r>
        <w:t xml:space="preserve">The implementation of the Auckland Unitary Plan has radically altered the skyline and density of New Zealand Auckland. This regulatory shift requires architects to possess a deep understanding of zoning laws, heritage overlays, and view protection rules. The architect’s role now involves extensive stakeholder management with council planners to ensure compliance while advocating for design excellence.</w:t>
      </w:r>
    </w:p>
    <w:p>
      <w:pPr>
        <w:pStyle w:val="BodyText"/>
      </w:pPr>
      <w:r>
        <w:t xml:space="preserve">Navigating these regulations in New Zealand Auckland demands strategic foresight. Architects must anticipate council feedback during the resource consent process, minimizing risks of refusal or costly modifications. This administrative burden adds another layer to the architect’s responsibilities, requiring them to be well-versed in legal frameworks alongside their design expertise.</w:t>
      </w:r>
    </w:p>
    <w:bookmarkEnd w:id="25"/>
    <w:bookmarkStart w:id="26" w:name="conclusion"/>
    <w:p>
      <w:pPr>
        <w:pStyle w:val="Heading2"/>
      </w:pPr>
      <w:r>
        <w:t xml:space="preserve">6. Conclusion</w:t>
      </w:r>
    </w:p>
    <w:p>
      <w:pPr>
        <w:pStyle w:val="FirstParagraph"/>
      </w:pPr>
      <w:r>
        <w:t xml:space="preserve">In conclusion, the role of the architect in New Zealand Auckland is far more intricate than traditional definitions suggest. It demands a synthesis of technical precision regarding seismic safety, cultural sensitivity grounded in Te Tiriti o Waitangi principles, and a proactive approach to environmental sustainability. As New Zealand Auckland continues to grow and evolve, the architect must remain agile, responsive, and deeply connected to the unique identity of the region.</w:t>
      </w:r>
    </w:p>
    <w:p>
      <w:pPr>
        <w:pStyle w:val="BodyText"/>
      </w:pPr>
      <w:r>
        <w:t xml:space="preserve">Future research should focus on quantifying the impact of collaborative design processes on project outcomes in New Zealand Auckland. Additionally, further exploration into low-carbon construction materials specific to this region could provide valuable insights for practitioners aiming to reduce their environmental footprint. Ultimately, excellence in architecture within New Zealand Auckland requires a commitment to resilience—both structural and societal—ensuring that built environments serve future generations safely and meaningfully.</w:t>
      </w:r>
    </w:p>
    <w:bookmarkEnd w:id="26"/>
    <w:bookmarkStart w:id="27" w:name="references"/>
    <w:p>
      <w:pPr>
        <w:pStyle w:val="Heading2"/>
      </w:pPr>
      <w:r>
        <w:t xml:space="preserve">References</w:t>
      </w:r>
    </w:p>
    <w:p>
      <w:pPr>
        <w:numPr>
          <w:ilvl w:val="0"/>
          <w:numId w:val="1001"/>
        </w:numPr>
        <w:pStyle w:val="Compact"/>
      </w:pPr>
      <w:r>
        <w:t xml:space="preserve">Auckland Council. (2016).</w:t>
      </w:r>
      <w:r>
        <w:t xml:space="preserve"> </w:t>
      </w:r>
      <w:r>
        <w:rPr>
          <w:iCs/>
          <w:i/>
        </w:rPr>
        <w:t xml:space="preserve">Auckland Unitary Plan Operational Part 3: Building Rules</w:t>
      </w:r>
      <w:r>
        <w:t xml:space="preserve">. Auckland, NZ: Auckland Council.</w:t>
      </w:r>
    </w:p>
    <w:p>
      <w:pPr>
        <w:numPr>
          <w:ilvl w:val="0"/>
          <w:numId w:val="1001"/>
        </w:numPr>
        <w:pStyle w:val="Compact"/>
      </w:pPr>
      <w:r>
        <w:t xml:space="preserve">New Zealand Ministry of Business, Innovation and Employment. (2018).</w:t>
      </w:r>
      <w:r>
        <w:t xml:space="preserve"> </w:t>
      </w:r>
      <w:r>
        <w:rPr>
          <w:iCs/>
          <w:i/>
        </w:rPr>
        <w:t xml:space="preserve">New Zealand Building Code Handbook</w:t>
      </w:r>
      <w:r>
        <w:t xml:space="preserve">. Wellington, NZ: MBIE.</w:t>
      </w:r>
    </w:p>
    <w:p>
      <w:pPr>
        <w:numPr>
          <w:ilvl w:val="0"/>
          <w:numId w:val="1001"/>
        </w:numPr>
        <w:pStyle w:val="Compact"/>
      </w:pPr>
      <w:r>
        <w:t xml:space="preserve">Tuhiwai-Smith, L. (2012).</w:t>
      </w:r>
      <w:r>
        <w:t xml:space="preserve"> </w:t>
      </w:r>
      <w:r>
        <w:rPr>
          <w:iCs/>
          <w:i/>
        </w:rPr>
        <w:t xml:space="preserve">Decolonizing Methodologies: Research and Indigenous Peoples</w:t>
      </w:r>
      <w:r>
        <w:t xml:space="preserve">. London: Zed Books.</w:t>
      </w:r>
    </w:p>
    <w:p>
      <w:pPr>
        <w:numPr>
          <w:ilvl w:val="0"/>
          <w:numId w:val="1001"/>
        </w:numPr>
        <w:pStyle w:val="Compact"/>
      </w:pPr>
      <w:r>
        <w:t xml:space="preserve">RMIT Urban Design Lab. (2021). "Seismic Resilience in High-Density Urban Environments." Journal of Pacific Architecture, 13(2), 45-67.</w:t>
      </w:r>
    </w:p>
    <w:p>
      <w:pPr>
        <w:numPr>
          <w:ilvl w:val="0"/>
          <w:numId w:val="1001"/>
        </w:numPr>
        <w:pStyle w:val="Compact"/>
      </w:pPr>
      <w:r>
        <w:t xml:space="preserve">New Zealand Green Building Council. (2020).</w:t>
      </w:r>
      <w:r>
        <w:t xml:space="preserve"> </w:t>
      </w:r>
      <w:r>
        <w:rPr>
          <w:iCs/>
          <w:i/>
        </w:rPr>
        <w:t xml:space="preserve">Sustainable Construction Guidelines for Auckland</w:t>
      </w:r>
      <w:r>
        <w:t xml:space="preserve">. Wellington, NZ: NZGBC.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The Architect in New Zealand Auckland</dc:title>
  <dc:creator/>
  <dc:language>en</dc:language>
  <cp:keywords/>
  <dcterms:created xsi:type="dcterms:W3CDTF">2026-07-29T16:42:17Z</dcterms:created>
  <dcterms:modified xsi:type="dcterms:W3CDTF">2026-07-29T16:42:17Z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