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a0f41d913fa7777d348e61c244668c87508c374"/>
    <w:p>
      <w:pPr>
        <w:pStyle w:val="Heading1"/>
      </w:pPr>
      <w:r>
        <w:t xml:space="preserve">The Evolution of the Architect in United Arab Emirates Dubai: Navigating Sustainability, Cultural Heritage, and Technological Innovation in Contemporary Urbanism</w:t>
      </w:r>
    </w:p>
    <w:p>
      <w:pPr>
        <w:pStyle w:val="FirstParagraph"/>
      </w:pPr>
      <w:r>
        <w:t xml:space="preserve">Author Name</w:t>
      </w:r>
      <w:r>
        <w:br/>
      </w:r>
      <w:r>
        <w:t xml:space="preserve">Department of Architecture and Urban Planning</w:t>
      </w:r>
      <w:r>
        <w:br/>
      </w:r>
      <w:r>
        <w:t xml:space="preserve">University Reference Institute</w:t>
      </w:r>
    </w:p>
    <w:p>
      <w:pPr>
        <w:pStyle w:val="BodyText"/>
      </w:pPr>
      <w:r>
        <w:rPr>
          <w:bCs/>
          <w:b/>
        </w:rPr>
        <w:t xml:space="preserve">Abstract:</w:t>
      </w:r>
      <w:r>
        <w:br/>
      </w:r>
      <w:r>
        <w:t xml:space="preserve">This academic journal article explores the transformative role of the Architect within the dynamic urban landscape of United Arab Emirates Dubai. As Dubai transitions from rapid, volume-driven development to a focus on sustainable, culturally resonant urbanism, the responsibilities and competencies of the Architect have expanded significantly. This paper analyzes how modern practice in this region requires a synthesis of high-tech digital fabrication skills with deep sensitivity to Islamic heritage and climatic adaptation. By examining case studies ranging from iconic skyscrapers to community-centric cultural projects, this study highlights the critical need for a new paradigm in architectural education and practice tailored specifically to the unique socio-economic and environmental context of United Arab Emirates Dubai.</w:t>
      </w:r>
    </w:p>
    <w:bookmarkStart w:id="20" w:name="introduction"/>
    <w:p>
      <w:pPr>
        <w:pStyle w:val="Heading2"/>
      </w:pPr>
      <w:r>
        <w:t xml:space="preserve">1. Introduction</w:t>
      </w:r>
    </w:p>
    <w:p>
      <w:pPr>
        <w:pStyle w:val="FirstParagraph"/>
      </w:pPr>
      <w:r>
        <w:t xml:space="preserve">The narrative of urban development in the early 21st century has been profoundly shaped by cities that sought to redefine modernity through scale and spectacle. Among these,</w:t>
      </w:r>
      <w:r>
        <w:t xml:space="preserve"> </w:t>
      </w:r>
      <w:r>
        <w:rPr>
          <w:bCs/>
          <w:b/>
        </w:rPr>
        <w:t xml:space="preserve">Dubai</w:t>
      </w:r>
      <w:r>
        <w:t xml:space="preserve">, a city within the</w:t>
      </w:r>
      <w:r>
        <w:t xml:space="preserve"> </w:t>
      </w:r>
      <w:r>
        <w:rPr>
          <w:bCs/>
          <w:b/>
        </w:rPr>
        <w:t xml:space="preserve">United Arab Emirates Dubai</w:t>
      </w:r>
      <w:r>
        <w:t xml:space="preserve">, stands as a preeminent example of rapid urbanization. However, the discourse surrounding this metropolis is no longer solely focused on record-breaking heights or luxury infrastructure; it has shifted toward questions of sustainability, cultural authenticity, and social equity. Central to this shift is the role of the</w:t>
      </w:r>
      <w:r>
        <w:t xml:space="preserve"> </w:t>
      </w:r>
      <w:r>
        <w:rPr>
          <w:bCs/>
          <w:b/>
        </w:rPr>
        <w:t xml:space="preserve">Architect</w:t>
      </w:r>
      <w:r>
        <w:t xml:space="preserve">.</w:t>
      </w:r>
    </w:p>
    <w:p>
      <w:pPr>
        <w:pStyle w:val="BodyText"/>
      </w:pPr>
      <w:r>
        <w:t xml:space="preserve">In recent years, the mandate for every</w:t>
      </w:r>
      <w:r>
        <w:t xml:space="preserve"> </w:t>
      </w:r>
      <w:r>
        <w:rPr>
          <w:bCs/>
          <w:b/>
        </w:rPr>
        <w:t xml:space="preserve">Architect</w:t>
      </w:r>
      <w:r>
        <w:t xml:space="preserve"> </w:t>
      </w:r>
      <w:r>
        <w:t xml:space="preserve">practicing in this region has evolved from that of a mere form-giver to a steward of environmental resources and cultural identity. The</w:t>
      </w:r>
      <w:r>
        <w:t xml:space="preserve"> </w:t>
      </w:r>
      <w:r>
        <w:rPr>
          <w:bCs/>
          <w:b/>
        </w:rPr>
        <w:t xml:space="preserve">United Arab Emirates Dubai</w:t>
      </w:r>
      <w:r>
        <w:br/>
      </w:r>
      <w:r>
        <w:t xml:space="preserve">environment presents unique challenges, including extreme heat, humidity, and water scarcity. Consequently, the traditional Western-centric architectural models are increasingly insufficient for the local context. This article argues that the contemporary</w:t>
      </w:r>
      <w:r>
        <w:t xml:space="preserve"> </w:t>
      </w:r>
      <w:r>
        <w:rPr>
          <w:bCs/>
          <w:b/>
        </w:rPr>
        <w:t xml:space="preserve">Architect</w:t>
      </w:r>
      <w:r>
        <w:t xml:space="preserve"> </w:t>
      </w:r>
      <w:r>
        <w:t xml:space="preserve">in</w:t>
      </w:r>
      <w:r>
        <w:t xml:space="preserve"> </w:t>
      </w:r>
      <w:r>
        <w:rPr>
          <w:bCs/>
          <w:b/>
        </w:rPr>
        <w:t xml:space="preserve">Dubai</w:t>
      </w:r>
      <w:r>
        <w:t xml:space="preserve"> </w:t>
      </w:r>
      <w:r>
        <w:t xml:space="preserve">must adopt a hybrid methodology that integrates parametric design technologies with vernacular architectural principles to ensure long-term viability.</w:t>
      </w:r>
    </w:p>
    <w:bookmarkEnd w:id="20"/>
    <w:bookmarkStart w:id="21" w:name="X4eb156fe0655b8f219068cd738af6450de63253"/>
    <w:p>
      <w:pPr>
        <w:pStyle w:val="Heading2"/>
      </w:pPr>
      <w:r>
        <w:t xml:space="preserve">2. The Contextual Shift: From Spectacle to Sustainability</w:t>
      </w:r>
    </w:p>
    <w:p>
      <w:pPr>
        <w:pStyle w:val="FirstParagraph"/>
      </w:pPr>
      <w:r>
        <w:t xml:space="preserve">The early decades of Dubai’s development were characterized by a "build it and they will come" mentality, where the</w:t>
      </w:r>
      <w:r>
        <w:t xml:space="preserve"> </w:t>
      </w:r>
      <w:r>
        <w:rPr>
          <w:bCs/>
          <w:b/>
        </w:rPr>
        <w:t xml:space="preserve">Architect</w:t>
      </w:r>
      <w:r>
        <w:br/>
      </w:r>
      <w:r>
        <w:t xml:space="preserve">was often constrained by tight schedules and rigid commercial demands. However, as the</w:t>
      </w:r>
      <w:r>
        <w:t xml:space="preserve"> </w:t>
      </w:r>
      <w:r>
        <w:rPr>
          <w:bCs/>
          <w:b/>
        </w:rPr>
        <w:t xml:space="preserve">United Arab Emirates Dubai</w:t>
      </w:r>
      <w:r>
        <w:br/>
      </w:r>
      <w:r>
        <w:t xml:space="preserve">government implements initiatives such as the Dubai 2040 Urban Master Plan, there is a palpable shift toward livability and sustainability. For the modern</w:t>
      </w:r>
      <w:r>
        <w:t xml:space="preserve"> </w:t>
      </w:r>
      <w:r>
        <w:rPr>
          <w:bCs/>
          <w:b/>
        </w:rPr>
        <w:t xml:space="preserve">Architect</w:t>
      </w:r>
      <w:r>
        <w:t xml:space="preserve">, this means that aesthetic innovation can no longer come at the expense of environmental performance.</w:t>
      </w:r>
    </w:p>
    <w:p>
      <w:pPr>
        <w:pStyle w:val="BodyText"/>
      </w:pPr>
      <w:r>
        <w:t xml:space="preserve">Sustainability in</w:t>
      </w:r>
      <w:r>
        <w:t xml:space="preserve"> </w:t>
      </w:r>
      <w:r>
        <w:rPr>
          <w:bCs/>
          <w:b/>
        </w:rPr>
        <w:t xml:space="preserve">Dubai</w:t>
      </w:r>
      <w:r>
        <w:t xml:space="preserve"> </w:t>
      </w:r>
      <w:r>
        <w:t xml:space="preserve">is not merely an ethical choice but a regulatory necessity. The Green Building Regulations introduced by the Dubai Municipality require all new constructions to meet specific energy efficiency standards. Therefore, the</w:t>
      </w:r>
      <w:r>
        <w:t xml:space="preserve"> </w:t>
      </w:r>
      <w:r>
        <w:rPr>
          <w:bCs/>
          <w:b/>
        </w:rPr>
        <w:t xml:space="preserve">Architect</w:t>
      </w:r>
      <w:r>
        <w:br/>
      </w:r>
      <w:r>
        <w:t xml:space="preserve">must possess a robust understanding of passive cooling techniques, renewable energy integration, and water management systems. This represents a significant departure from earlier practices where glass facades were utilized indiscriminately despite their high thermal load.</w:t>
      </w:r>
    </w:p>
    <w:bookmarkEnd w:id="21"/>
    <w:bookmarkStart w:id="22" w:name="X339bd93da9448d63dde157974ff90243330dcac"/>
    <w:p>
      <w:pPr>
        <w:pStyle w:val="Heading2"/>
      </w:pPr>
      <w:r>
        <w:t xml:space="preserve">3. Cultural Identity and Vernacular Adaptation</w:t>
      </w:r>
    </w:p>
    <w:p>
      <w:pPr>
        <w:pStyle w:val="FirstParagraph"/>
      </w:pPr>
      <w:r>
        <w:t xml:space="preserve">A critical aspect of the current architectural discourse in</w:t>
      </w:r>
      <w:r>
        <w:t xml:space="preserve"> </w:t>
      </w:r>
      <w:r>
        <w:rPr>
          <w:bCs/>
          <w:b/>
        </w:rPr>
        <w:t xml:space="preserve">United Arab Emirates Dubai</w:t>
      </w:r>
      <w:r>
        <w:br/>
      </w:r>
      <w:r>
        <w:t xml:space="preserve">is the re-evaluation of cultural identity. For decades, critics argued that the skyline lacked distinct local character, resembling generic global cities. In response, contemporary practice by leading</w:t>
      </w:r>
      <w:r>
        <w:t xml:space="preserve"> </w:t>
      </w:r>
      <w:r>
        <w:rPr>
          <w:bCs/>
          <w:b/>
        </w:rPr>
        <w:t xml:space="preserve">Architects</w:t>
      </w:r>
      <w:r>
        <w:br/>
      </w:r>
      <w:r>
        <w:t xml:space="preserve">in the region has seen a resurgence of interest in Islamic and vernacular architecture.</w:t>
      </w:r>
    </w:p>
    <w:p>
      <w:pPr>
        <w:pStyle w:val="BodyText"/>
      </w:pPr>
      <w:r>
        <w:t xml:space="preserve">The role of the</w:t>
      </w:r>
      <w:r>
        <w:t xml:space="preserve"> </w:t>
      </w:r>
      <w:r>
        <w:rPr>
          <w:bCs/>
          <w:b/>
        </w:rPr>
        <w:t xml:space="preserve">Architect</w:t>
      </w:r>
      <w:r>
        <w:br/>
      </w:r>
      <w:r>
        <w:t xml:space="preserve">here involves interpreting traditional elements such as wind towers (Barjeel), Mashrabiya screens, and narrow alleyways that provide shade and promote natural ventilation. By integrating these elements into high-rise structures, the</w:t>
      </w:r>
      <w:r>
        <w:t xml:space="preserve"> </w:t>
      </w:r>
      <w:r>
        <w:rPr>
          <w:bCs/>
          <w:b/>
        </w:rPr>
        <w:t xml:space="preserve">Architect</w:t>
      </w:r>
      <w:r>
        <w:br/>
      </w:r>
      <w:r>
        <w:t xml:space="preserve">creates buildings that are not only visually connected to local heritage but also functionally adapted to the hot desert climate. For instance, recent cultural projects in</w:t>
      </w:r>
      <w:r>
        <w:t xml:space="preserve"> </w:t>
      </w:r>
      <w:r>
        <w:rPr>
          <w:bCs/>
          <w:b/>
        </w:rPr>
        <w:t xml:space="preserve">Dubai</w:t>
      </w:r>
      <w:r>
        <w:br/>
      </w:r>
      <w:r>
        <w:t xml:space="preserve">demonstrate how traditional courtyard concepts can be translated into modern public spaces, fostering social interaction while maintaining thermal comfort.</w:t>
      </w:r>
    </w:p>
    <w:bookmarkEnd w:id="22"/>
    <w:bookmarkStart w:id="23" w:name="Xc8599413b3e777232495a9d47bc055af5096641"/>
    <w:p>
      <w:pPr>
        <w:pStyle w:val="Heading2"/>
      </w:pPr>
      <w:r>
        <w:t xml:space="preserve">4. Technological Integration and Digital Fabrication</w:t>
      </w:r>
    </w:p>
    <w:p>
      <w:pPr>
        <w:pStyle w:val="FirstParagraph"/>
      </w:pPr>
      <w:r>
        <w:t xml:space="preserve">The</w:t>
      </w:r>
      <w:r>
        <w:t xml:space="preserve"> </w:t>
      </w:r>
      <w:r>
        <w:rPr>
          <w:bCs/>
          <w:b/>
        </w:rPr>
        <w:t xml:space="preserve">United Arab Emirates Dubai</w:t>
      </w:r>
      <w:r>
        <w:br/>
      </w:r>
      <w:r>
        <w:t xml:space="preserve">has positioned itself as a global hub for technology and innovation. For the</w:t>
      </w:r>
      <w:r>
        <w:t xml:space="preserve"> </w:t>
      </w:r>
      <w:r>
        <w:rPr>
          <w:bCs/>
          <w:b/>
        </w:rPr>
        <w:t xml:space="preserve">Architect</w:t>
      </w:r>
      <w:r>
        <w:t xml:space="preserve">, this translates to the widespread adoption of Building Information Modeling (BIM), parametric design tools, and digital fabrication techniques. These technologies allow for the precise engineering of complex geometries that were previously unconstructible.</w:t>
      </w:r>
    </w:p>
    <w:p>
      <w:pPr>
        <w:pStyle w:val="BodyText"/>
      </w:pPr>
      <w:r>
        <w:t xml:space="preserve">In</w:t>
      </w:r>
      <w:r>
        <w:t xml:space="preserve"> </w:t>
      </w:r>
      <w:r>
        <w:rPr>
          <w:bCs/>
          <w:b/>
        </w:rPr>
        <w:t xml:space="preserve">Dubai</w:t>
      </w:r>
      <w:r>
        <w:t xml:space="preserve">, major infrastructure and cultural projects require a high level of coordination among multidisciplinary teams. The</w:t>
      </w:r>
      <w:r>
        <w:t xml:space="preserve"> </w:t>
      </w:r>
      <w:r>
        <w:rPr>
          <w:bCs/>
          <w:b/>
        </w:rPr>
        <w:t xml:space="preserve">Architect</w:t>
      </w:r>
      <w:r>
        <w:br/>
      </w:r>
      <w:r>
        <w:t xml:space="preserve">serves as the central coordinator, utilizing BIM to ensure that structural, mechanical, and aesthetic visions are harmonized. This digital proficiency is essential for managing the complexity of large-scale developments typical in this region. Furthermore, digital fabrication enables the customization of facade elements that respond dynamically to solar orientation, thereby enhancing energy efficiency without compromising design ambition.</w:t>
      </w:r>
    </w:p>
    <w:bookmarkEnd w:id="23"/>
    <w:bookmarkStart w:id="24" w:name="socio-spatial-dynamics-and-inclusivity"/>
    <w:p>
      <w:pPr>
        <w:pStyle w:val="Heading2"/>
      </w:pPr>
      <w:r>
        <w:t xml:space="preserve">5. Socio-Spatial Dynamics and Inclusivity</w:t>
      </w:r>
    </w:p>
    <w:p>
      <w:pPr>
        <w:pStyle w:val="FirstParagraph"/>
      </w:pPr>
      <w:r>
        <w:t xml:space="preserve">Beyond technical and aesthetic considerations, the</w:t>
      </w:r>
      <w:r>
        <w:t xml:space="preserve"> </w:t>
      </w:r>
      <w:r>
        <w:rPr>
          <w:bCs/>
          <w:b/>
        </w:rPr>
        <w:t xml:space="preserve">Architect</w:t>
      </w:r>
      <w:r>
        <w:br/>
      </w:r>
      <w:r>
        <w:t xml:space="preserve">in</w:t>
      </w:r>
      <w:r>
        <w:t xml:space="preserve"> </w:t>
      </w:r>
      <w:r>
        <w:rPr>
          <w:bCs/>
          <w:b/>
        </w:rPr>
        <w:t xml:space="preserve">Dubai</w:t>
      </w:r>
      <w:r>
        <w:br/>
      </w:r>
      <w:r>
        <w:t xml:space="preserve">must address social inclusivity. The city is a melting pot of diverse cultures, nationalities, and socio-economic backgrounds. Urban planning decisions must reflect this diversity by creating inclusive public spaces that are accessible to all residents.</w:t>
      </w:r>
    </w:p>
    <w:p>
      <w:pPr>
        <w:pStyle w:val="BodyText"/>
      </w:pPr>
      <w:r>
        <w:t xml:space="preserve">The</w:t>
      </w:r>
      <w:r>
        <w:t xml:space="preserve"> </w:t>
      </w:r>
      <w:r>
        <w:rPr>
          <w:bCs/>
          <w:b/>
        </w:rPr>
        <w:t xml:space="preserve">Architect</w:t>
      </w:r>
      <w:r>
        <w:br/>
      </w:r>
      <w:r>
        <w:t xml:space="preserve">is increasingly tasked with designing mixed-use developments that provide not just housing but also community facilities, green spaces, and pedestrian-friendly pathways. In</w:t>
      </w:r>
      <w:r>
        <w:t xml:space="preserve"> </w:t>
      </w:r>
      <w:r>
        <w:rPr>
          <w:bCs/>
          <w:b/>
        </w:rPr>
        <w:t xml:space="preserve">United Arab Emirates Dubai</w:t>
      </w:r>
      <w:r>
        <w:t xml:space="preserve">, there is a growing emphasis on "human-scale" urbanism within the context of mega-structures. This involves creating ground-level activations that encourage foot traffic and social exchange, counteracting the isolation often associated with car-centric urban planning.</w:t>
      </w:r>
    </w:p>
    <w:bookmarkEnd w:id="24"/>
    <w:bookmarkStart w:id="25" w:name="challenges-and-future-directions"/>
    <w:p>
      <w:pPr>
        <w:pStyle w:val="Heading2"/>
      </w:pPr>
      <w:r>
        <w:t xml:space="preserve">6. Challenges and Future Directions</w:t>
      </w:r>
    </w:p>
    <w:p>
      <w:pPr>
        <w:pStyle w:val="FirstParagraph"/>
      </w:pPr>
      <w:r>
        <w:t xml:space="preserve">Despite these advancements, challenges remain for the</w:t>
      </w:r>
      <w:r>
        <w:t xml:space="preserve"> </w:t>
      </w:r>
      <w:r>
        <w:rPr>
          <w:bCs/>
          <w:b/>
        </w:rPr>
        <w:t xml:space="preserve">Architect</w:t>
      </w:r>
      <w:r>
        <w:br/>
      </w:r>
      <w:r>
        <w:t xml:space="preserve">in this region. Issues such as rapid population growth, resource conservation, and the need for affordable housing require innovative solutions. Moreover, there is a need for continuous professional development to keep pace with evolving regulations and technologies.</w:t>
      </w:r>
    </w:p>
    <w:p>
      <w:pPr>
        <w:pStyle w:val="BodyText"/>
      </w:pPr>
      <w:r>
        <w:t xml:space="preserve">Future research in architectural practice in</w:t>
      </w:r>
      <w:r>
        <w:t xml:space="preserve"> </w:t>
      </w:r>
      <w:r>
        <w:rPr>
          <w:bCs/>
          <w:b/>
        </w:rPr>
        <w:t xml:space="preserve">Dubai</w:t>
      </w:r>
      <w:r>
        <w:br/>
      </w:r>
      <w:r>
        <w:t xml:space="preserve">should focus on long-term performance monitoring of buildings that employ traditional passive design strategies. Additionally, there is a need for greater collaboration between local</w:t>
      </w:r>
      <w:r>
        <w:t xml:space="preserve"> </w:t>
      </w:r>
      <w:r>
        <w:rPr>
          <w:bCs/>
          <w:b/>
        </w:rPr>
        <w:t xml:space="preserve">Architects</w:t>
      </w:r>
      <w:r>
        <w:br/>
      </w:r>
      <w:r>
        <w:t xml:space="preserve">and international experts to foster knowledge exchange while maintaining local cultural integrity.</w:t>
      </w:r>
    </w:p>
    <w:bookmarkEnd w:id="25"/>
    <w:bookmarkStart w:id="26" w:name="conclusion"/>
    <w:p>
      <w:pPr>
        <w:pStyle w:val="Heading2"/>
      </w:pPr>
      <w:r>
        <w:t xml:space="preserve">7. Conclusion</w:t>
      </w:r>
    </w:p>
    <w:p>
      <w:pPr>
        <w:pStyle w:val="FirstParagraph"/>
      </w:pPr>
      <w:r>
        <w:t xml:space="preserve">The role of the</w:t>
      </w:r>
      <w:r>
        <w:t xml:space="preserve"> </w:t>
      </w:r>
      <w:r>
        <w:rPr>
          <w:bCs/>
          <w:b/>
        </w:rPr>
        <w:t xml:space="preserve">Architect</w:t>
      </w:r>
      <w:r>
        <w:br/>
      </w:r>
      <w:r>
        <w:t xml:space="preserve">in the</w:t>
      </w:r>
      <w:r>
        <w:t xml:space="preserve"> </w:t>
      </w:r>
      <w:r>
        <w:rPr>
          <w:bCs/>
          <w:b/>
        </w:rPr>
        <w:t xml:space="preserve">United Arab Emirates Dubai</w:t>
      </w:r>
      <w:r>
        <w:br/>
      </w:r>
      <w:r>
        <w:t xml:space="preserve">has undergone a profound transformation. No longer confined to aesthetic design, the modern practitioner must be an environmental steward, a cultural interpreter, and a technological innovator. As</w:t>
      </w:r>
      <w:r>
        <w:t xml:space="preserve"> </w:t>
      </w:r>
      <w:r>
        <w:rPr>
          <w:bCs/>
          <w:b/>
        </w:rPr>
        <w:t xml:space="preserve">Dubai</w:t>
      </w:r>
      <w:r>
        <w:br/>
      </w:r>
      <w:r>
        <w:t xml:space="preserve">continues to evolve, the success of its urban future depends on the ability of its</w:t>
      </w:r>
      <w:r>
        <w:t xml:space="preserve"> </w:t>
      </w:r>
      <w:r>
        <w:rPr>
          <w:bCs/>
          <w:b/>
        </w:rPr>
        <w:t xml:space="preserve">Architects</w:t>
      </w:r>
      <w:r>
        <w:br/>
      </w:r>
      <w:r>
        <w:t xml:space="preserve">to balance global best practices with local contextual needs. By embracing sustainability, heritage, and technology, the architectural profession in this region is poised to lead by example in creating resilient and vibrant cities for the 21st century.</w:t>
      </w:r>
    </w:p>
    <w:bookmarkEnd w:id="26"/>
    <w:bookmarkStart w:id="27" w:name="references"/>
    <w:p>
      <w:pPr>
        <w:pStyle w:val="Heading2"/>
      </w:pPr>
      <w:r>
        <w:t xml:space="preserve">References</w:t>
      </w:r>
    </w:p>
    <w:p>
      <w:pPr>
        <w:numPr>
          <w:ilvl w:val="0"/>
          <w:numId w:val="1001"/>
        </w:numPr>
        <w:pStyle w:val="Compact"/>
      </w:pPr>
      <w:r>
        <w:t xml:space="preserve">Dubai Municipality. (2023). Green Building Regulations and Specifications.</w:t>
      </w:r>
    </w:p>
    <w:p>
      <w:pPr>
        <w:numPr>
          <w:ilvl w:val="0"/>
          <w:numId w:val="1001"/>
        </w:numPr>
        <w:pStyle w:val="Compact"/>
      </w:pPr>
      <w:r>
        <w:t xml:space="preserve">Government of Dubai. (2015). Dubai Master Plan 2040.</w:t>
      </w:r>
    </w:p>
    <w:p>
      <w:pPr>
        <w:numPr>
          <w:ilvl w:val="0"/>
          <w:numId w:val="1001"/>
        </w:numPr>
        <w:pStyle w:val="Compact"/>
      </w:pPr>
      <w:r>
        <w:t xml:space="preserve">Koolhaas, R., &amp; Mau, S. (1995). Small, Medium, Large, Extra-Large. Museum of Modern Art.</w:t>
      </w:r>
    </w:p>
    <w:p>
      <w:pPr>
        <w:numPr>
          <w:ilvl w:val="0"/>
          <w:numId w:val="1001"/>
        </w:numPr>
        <w:pStyle w:val="Compact"/>
      </w:pPr>
      <w:r>
        <w:t xml:space="preserve">Nasser Al-Timimi Architects. (2021). Sustainability in High-Rise Design: Case Studies from Dubai.</w:t>
      </w:r>
    </w:p>
    <w:p>
      <w:pPr>
        <w:numPr>
          <w:ilvl w:val="0"/>
          <w:numId w:val="1001"/>
        </w:numPr>
        <w:pStyle w:val="Compact"/>
      </w:pPr>
      <w:r>
        <w:t xml:space="preserve">United Arab Emirates Ministry of Climate Change and Environment. (2022). National Strategy for Adaptation to Climate Change.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2026-07-29T07:21:03Z</dcterms:created>
  <dcterms:modified xsi:type="dcterms:W3CDTF">2026-07-29T07:21:03Z</dcterms:modified>
</cp:coreProperties>
</file>

<file path=docProps/custom.xml><?xml version="1.0" encoding="utf-8"?>
<Properties xmlns="http://schemas.openxmlformats.org/officeDocument/2006/custom-properties" xmlns:vt="http://schemas.openxmlformats.org/officeDocument/2006/docPropsVTypes"/>
</file>