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Melbourne</w:t>
      </w:r>
    </w:p>
    <w:bookmarkStart w:id="28" w:name="X8478b8f383af13fed42ca7e98b65f89d984848b"/>
    <w:p>
      <w:pPr>
        <w:pStyle w:val="Heading1"/>
      </w:pPr>
      <w:r>
        <w:t xml:space="preserve">The Evolving Role of the Auditor in the Australian Context: A Case Study of Melbourne</w:t>
      </w:r>
    </w:p>
    <w:p>
      <w:pPr>
        <w:pStyle w:val="FirstParagraph"/>
      </w:pPr>
      <w:r>
        <w:rPr>
          <w:bCs/>
          <w:b/>
        </w:rPr>
        <w:t xml:space="preserve">Jane Doe, PhD Candidate</w:t>
      </w:r>
      <w:r>
        <w:br/>
      </w:r>
      <w:r>
        <w:t xml:space="preserve">Faculty of Accounting and Business, University of Melbourne</w:t>
      </w:r>
      <w:r>
        <w:br/>
      </w:r>
      <w:r>
        <w:t xml:space="preserve">Melbourne, Victoria, Australia</w:t>
      </w:r>
    </w:p>
    <w:bookmarkStart w:id="20" w:name="abstract"/>
    <w:p>
      <w:pPr>
        <w:pStyle w:val="Heading2"/>
      </w:pPr>
      <w:r>
        <w:t xml:space="preserve">Abstract</w:t>
      </w:r>
    </w:p>
    <w:p>
      <w:pPr>
        <w:pStyle w:val="FirstParagraph"/>
      </w:pPr>
      <w:r>
        <w:t xml:space="preserve">This article examines the critical function and expanding responsibilities of the</w:t>
      </w:r>
      <w:r>
        <w:t xml:space="preserve"> </w:t>
      </w:r>
      <w:r>
        <w:rPr>
          <w:bCs/>
          <w:b/>
        </w:rPr>
        <w:t xml:space="preserve">Auditor</w:t>
      </w:r>
      <w:r>
        <w:t xml:space="preserve"> </w:t>
      </w:r>
      <w:r>
        <w:t xml:space="preserve">within the contemporary business landscape of</w:t>
      </w:r>
      <w:r>
        <w:t xml:space="preserve"> </w:t>
      </w:r>
      <w:r>
        <w:rPr>
          <w:bCs/>
          <w:b/>
        </w:rPr>
        <w:t xml:space="preserve">Australia Melbourne</w:t>
      </w:r>
      <w:r>
        <w:t xml:space="preserve">. As a global financial hub, Melbourne serves as a unique microcosm for understanding how regulatory frameworks, technological advancements, and ethical expectations intersect in modern auditing practices. This study explores the transition from traditional compliance-based auditing to value-added assurance services. Furthermore, it analyzes the impact of recent legislative changes enacted by the Australian Securities and Investments Commission (ASIC) on audit firms headquartered or operating within Melbourne. The findings suggest that while the core mandate remains unchanged, the scope of an auditor's duty now requires a deeper understanding of data analytics, environmental governance, and local economic dynamics specific to Victoria.</w:t>
      </w:r>
    </w:p>
    <w:bookmarkEnd w:id="20"/>
    <w:bookmarkStart w:id="21" w:name="introduction"/>
    <w:p>
      <w:pPr>
        <w:pStyle w:val="Heading2"/>
      </w:pPr>
      <w:r>
        <w:t xml:space="preserve">Introduction</w:t>
      </w:r>
    </w:p>
    <w:p>
      <w:pPr>
        <w:pStyle w:val="FirstParagraph"/>
      </w:pPr>
      <w:r>
        <w:t xml:space="preserve">The profession of accounting stands as one of the pillars supporting market confidence in</w:t>
      </w:r>
      <w:r>
        <w:t xml:space="preserve"> </w:t>
      </w:r>
      <w:r>
        <w:rPr>
          <w:bCs/>
          <w:b/>
        </w:rPr>
        <w:t xml:space="preserve">Australia Melbourne</w:t>
      </w:r>
      <w:r>
        <w:t xml:space="preserve">. At the heart of this system lies the</w:t>
      </w:r>
      <w:r>
        <w:t xml:space="preserve"> </w:t>
      </w:r>
      <w:r>
        <w:rPr>
          <w:bCs/>
          <w:b/>
        </w:rPr>
        <w:t xml:space="preserve">Auditor</w:t>
      </w:r>
      <w:r>
        <w:t xml:space="preserve">, whose primary objective is to provide independent assurance regarding the accuracy and fairness of financial statements. In recent years, however, the role has undergone a significant metamorphosis. Historically viewed merely as checkers of arithmetic compliance, auditors are now expected to act as strategic advisors and guardians of public interest.</w:t>
      </w:r>
    </w:p>
    <w:p>
      <w:pPr>
        <w:pStyle w:val="BodyText"/>
      </w:pPr>
      <w:r>
        <w:t xml:space="preserve">Melbourne, frequently ranked among the world’s most liveable cities and a major economic engine for Victoria, presents distinct challenges and opportunities for audit professionals. The city hosts numerous multinational corporations, mid-sized enterprises, not-for-profit organizations, and government agencies. Consequently, the demand for high-quality audit services in this region is both diverse and intense. This article argues that the effectiveness of an</w:t>
      </w:r>
      <w:r>
        <w:t xml:space="preserve"> </w:t>
      </w:r>
      <w:r>
        <w:rPr>
          <w:bCs/>
          <w:b/>
        </w:rPr>
        <w:t xml:space="preserve">Auditor</w:t>
      </w:r>
      <w:r>
        <w:t xml:space="preserve"> </w:t>
      </w:r>
      <w:r>
        <w:t xml:space="preserve">in</w:t>
      </w:r>
      <w:r>
        <w:t xml:space="preserve"> </w:t>
      </w:r>
      <w:r>
        <w:rPr>
          <w:bCs/>
          <w:b/>
        </w:rPr>
        <w:t xml:space="preserve">Australia Melbourne</w:t>
      </w:r>
      <w:r>
        <w:t xml:space="preserve"> </w:t>
      </w:r>
      <w:r>
        <w:t xml:space="preserve">is contingent upon their ability to adapt to rapid technological shifts while maintaining strict adherence to Australian Auditing Standards (AUASB).</w:t>
      </w:r>
    </w:p>
    <w:bookmarkEnd w:id="21"/>
    <w:bookmarkStart w:id="22" w:name="the-regulatory-framework-in-victoria"/>
    <w:p>
      <w:pPr>
        <w:pStyle w:val="Heading2"/>
      </w:pPr>
      <w:r>
        <w:t xml:space="preserve">The Regulatory Framework in Victoria</w:t>
      </w:r>
    </w:p>
    <w:p>
      <w:pPr>
        <w:pStyle w:val="FirstParagraph"/>
      </w:pPr>
      <w:r>
        <w:t xml:space="preserve">To understand the operational environment of an auditor, one must first appreciate the regulatory landscape. In</w:t>
      </w:r>
      <w:r>
        <w:t xml:space="preserve"> </w:t>
      </w:r>
      <w:r>
        <w:rPr>
          <w:bCs/>
          <w:b/>
        </w:rPr>
        <w:t xml:space="preserve">Australia Melbourne</w:t>
      </w:r>
      <w:r>
        <w:t xml:space="preserve">, auditors operate under a robust framework governed by the Corporations Act 2001 and standards issued by the Australian Auditing and Assurance Standards Board (AAUASB). Unlike some jurisdictions where federal laws dominate entirely, Victoria often implements state-level regulations that intersect with corporate governance, particularly concerning environmental reporting and community accountability.</w:t>
      </w:r>
    </w:p>
    <w:p>
      <w:pPr>
        <w:pStyle w:val="BodyText"/>
      </w:pPr>
      <w:r>
        <w:t xml:space="preserve">For any practicing</w:t>
      </w:r>
      <w:r>
        <w:t xml:space="preserve"> </w:t>
      </w:r>
      <w:r>
        <w:rPr>
          <w:bCs/>
          <w:b/>
        </w:rPr>
        <w:t xml:space="preserve">Auditor</w:t>
      </w:r>
      <w:r>
        <w:t xml:space="preserve">, navigating this dual-layered compliance requirement is essential. Recent amendments to the Corporations Act have strengthened penalties for non-compliance and enhanced the powers of ASIC to investigate audit failures. In Melbourne, where financial crime has seen a slight uptick in complex fraud schemes involving digital assets, auditors must possess heightened forensic accounting skills. The regulatory pressure has effectively raised the bar for professional skepticism, requiring</w:t>
      </w:r>
      <w:r>
        <w:t xml:space="preserve"> </w:t>
      </w:r>
      <w:r>
        <w:rPr>
          <w:bCs/>
          <w:b/>
        </w:rPr>
        <w:t xml:space="preserve">Auditor</w:t>
      </w:r>
      <w:r>
        <w:t xml:space="preserve">s to look beyond surface-level transactions and delve into the underlying economic substance of business activities.</w:t>
      </w:r>
    </w:p>
    <w:bookmarkEnd w:id="22"/>
    <w:bookmarkStart w:id="23" w:name="Xf815b0714f6f4375798822bbe4346d29eff0318"/>
    <w:p>
      <w:pPr>
        <w:pStyle w:val="Heading2"/>
      </w:pPr>
      <w:r>
        <w:t xml:space="preserve">Technological Disruption and Data Analytics</w:t>
      </w:r>
    </w:p>
    <w:p>
      <w:pPr>
        <w:pStyle w:val="FirstParagraph"/>
      </w:pPr>
      <w:r>
        <w:t xml:space="preserve">The integration of technology has been perhaps the most transformative factor affecting the audit profession in recent decades. In</w:t>
      </w:r>
      <w:r>
        <w:t xml:space="preserve"> </w:t>
      </w:r>
      <w:r>
        <w:rPr>
          <w:bCs/>
          <w:b/>
        </w:rPr>
        <w:t xml:space="preserve">Australia Melbourne</w:t>
      </w:r>
      <w:r>
        <w:t xml:space="preserve">, major audit firms have invested heavily in artificial intelligence (AI), machine learning, and blockchain technology to enhance audit quality. These tools allow for the continuous auditing of large datasets, moving away from traditional sample-based testing to 100% population testing.</w:t>
      </w:r>
    </w:p>
    <w:p>
      <w:pPr>
        <w:pStyle w:val="BodyText"/>
      </w:pPr>
      <w:r>
        <w:t xml:space="preserve">However, this technological shift presents a skills gap for many junior auditors entering the workforce in Melbourne. Universities and professional bodies are increasingly focusing on curriculum updates to include data literacy as a core competency. An effective</w:t>
      </w:r>
      <w:r>
        <w:t xml:space="preserve"> </w:t>
      </w:r>
      <w:r>
        <w:rPr>
          <w:bCs/>
          <w:b/>
        </w:rPr>
        <w:t xml:space="preserve">Auditor</w:t>
      </w:r>
      <w:r>
        <w:t xml:space="preserve"> </w:t>
      </w:r>
      <w:r>
        <w:t xml:space="preserve">today must not only interpret financial results but also validate the algorithms and data integrity systems that produce those results. This evolution is particularly evident in Melbourne’s fintech sector, where startups operate at a velocity that demands real-time assurance rather than periodic historical reviews.</w:t>
      </w:r>
    </w:p>
    <w:bookmarkEnd w:id="23"/>
    <w:bookmarkStart w:id="24" w:name="ethical-considerations-and-public-trust"/>
    <w:p>
      <w:pPr>
        <w:pStyle w:val="Heading2"/>
      </w:pPr>
      <w:r>
        <w:t xml:space="preserve">Ethical Considerations and Public Trust</w:t>
      </w:r>
    </w:p>
    <w:p>
      <w:pPr>
        <w:pStyle w:val="FirstParagraph"/>
      </w:pPr>
      <w:r>
        <w:t xml:space="preserve">The credibility of the financial markets relies heavily on public trust, which is maintained through rigorous ethical standards. The collapse of several major Australian entities in previous decades highlighted the catastrophic consequences when an</w:t>
      </w:r>
      <w:r>
        <w:t xml:space="preserve"> </w:t>
      </w:r>
      <w:r>
        <w:rPr>
          <w:bCs/>
          <w:b/>
        </w:rPr>
        <w:t xml:space="preserve">Auditor</w:t>
      </w:r>
      <w:r>
        <w:t xml:space="preserve"> </w:t>
      </w:r>
      <w:r>
        <w:t xml:space="preserve">fails to identify material misstatements or breaches of independence. In response, the Auditing Standards Board introduced stricter rules regarding non-audit services provided by audit firms.</w:t>
      </w:r>
    </w:p>
    <w:p>
      <w:pPr>
        <w:pStyle w:val="BodyText"/>
      </w:pPr>
      <w:r>
        <w:t xml:space="preserve">In the context of</w:t>
      </w:r>
      <w:r>
        <w:t xml:space="preserve"> </w:t>
      </w:r>
      <w:r>
        <w:rPr>
          <w:bCs/>
          <w:b/>
        </w:rPr>
        <w:t xml:space="preserve">Australia Melbourne</w:t>
      </w:r>
      <w:r>
        <w:t xml:space="preserve">, where professional networks are tight-knit, maintaining independence can be particularly challenging. Many large firms in the city serve multiple clients within similar industries or supply chains. Therefore, ethical safeguards must be robustly enforced to prevent conflicts of interest. The concept of "public interest" has expanded to include stakeholders such as employees, customers, and the broader community affected by corporate actions in Melbourne’s CBD and surrounding suburbs.</w:t>
      </w:r>
    </w:p>
    <w:bookmarkEnd w:id="24"/>
    <w:bookmarkStart w:id="25" w:name="X5a0e4f96436e4dfb4d96e9268064397ef1b8eac"/>
    <w:p>
      <w:pPr>
        <w:pStyle w:val="Heading2"/>
      </w:pPr>
      <w:r>
        <w:t xml:space="preserve">Environmental, Social, and Governance (ESG) Reporting</w:t>
      </w:r>
    </w:p>
    <w:p>
      <w:pPr>
        <w:pStyle w:val="FirstParagraph"/>
      </w:pPr>
      <w:r>
        <w:t xml:space="preserve">A emerging trend influencing the audit profession globally is the rise of ESG reporting. Corporations are increasingly expected to disclose their environmental impact, social responsibility initiatives, and governance structures. For an</w:t>
      </w:r>
      <w:r>
        <w:t xml:space="preserve"> </w:t>
      </w:r>
      <w:r>
        <w:rPr>
          <w:bCs/>
          <w:b/>
        </w:rPr>
        <w:t xml:space="preserve">Auditor</w:t>
      </w:r>
      <w:r>
        <w:t xml:space="preserve">, this means expanding the assurance scope beyond financial numbers to include non-financial metrics.</w:t>
      </w:r>
    </w:p>
    <w:p>
      <w:pPr>
        <w:pStyle w:val="BodyText"/>
      </w:pPr>
      <w:r>
        <w:t xml:space="preserve">Melbourne has positioned itself as a leader in sustainability initiatives within Australia. The local government has introduced various green building standards and carbon reduction targets for businesses. As a result, auditors operating in</w:t>
      </w:r>
      <w:r>
        <w:t xml:space="preserve"> </w:t>
      </w:r>
      <w:r>
        <w:rPr>
          <w:bCs/>
          <w:b/>
        </w:rPr>
        <w:t xml:space="preserve">Australia Melbourne</w:t>
      </w:r>
      <w:r>
        <w:t xml:space="preserve"> </w:t>
      </w:r>
      <w:r>
        <w:t xml:space="preserve">are frequently tasked with verifying sustainability reports. This requires specialized knowledge of climate-related financial disclosures (TCFD) and assurance standards specific to ESG data. The inability to accurately verify these non-financial claims can lead to accusations of "greenwashing," damaging both the client’s reputation and the auditor’s professional standing.</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Australia Melbourne</w:t>
      </w:r>
      <w:r>
        <w:t xml:space="preserve"> </w:t>
      </w:r>
      <w:r>
        <w:t xml:space="preserve">is undergoing a profound transformation. No longer confined to retrospective financial verification, auditors are now integral to strategic decision-making, risk management, and ethical oversight. The unique regulatory environment of Victoria combined with Melbourne’s status as a technological and cultural hub creates a dynamic landscape that demands versatility from audit professionals.</w:t>
      </w:r>
    </w:p>
    <w:p>
      <w:pPr>
        <w:pStyle w:val="BodyText"/>
      </w:pPr>
      <w:r>
        <w:t xml:space="preserve">As technology continues to evolve and expectations for transparency rise, the profession must prioritize ongoing education, ethical resilience, and technological proficiency. For stakeholders in</w:t>
      </w:r>
      <w:r>
        <w:t xml:space="preserve"> </w:t>
      </w:r>
      <w:r>
        <w:rPr>
          <w:bCs/>
          <w:b/>
        </w:rPr>
        <w:t xml:space="preserve">Australia Melbourne</w:t>
      </w:r>
      <w:r>
        <w:t xml:space="preserve">, understanding these changes is crucial for appreciating the true value of an independent audit. Ultimately, the modern auditor serves not just as a gatekeeper of financial data, but as a custodian of trust in an increasingly complex global economy.</w:t>
      </w:r>
    </w:p>
    <w:bookmarkEnd w:id="26"/>
    <w:bookmarkStart w:id="27" w:name="references"/>
    <w:p>
      <w:pPr>
        <w:pStyle w:val="Heading2"/>
      </w:pPr>
      <w:r>
        <w:t xml:space="preserve">References</w:t>
      </w:r>
    </w:p>
    <w:p>
      <w:pPr>
        <w:numPr>
          <w:ilvl w:val="0"/>
          <w:numId w:val="1001"/>
        </w:numPr>
        <w:pStyle w:val="Compact"/>
      </w:pPr>
      <w:r>
        <w:t xml:space="preserve">Auditing and Assurance Standards Board. (2023). *Australian Auditing Standards*. Canberra: AAUASB.</w:t>
      </w:r>
    </w:p>
    <w:p>
      <w:pPr>
        <w:numPr>
          <w:ilvl w:val="0"/>
          <w:numId w:val="1001"/>
        </w:numPr>
        <w:pStyle w:val="Compact"/>
      </w:pPr>
      <w:r>
        <w:t xml:space="preserve">Australian Securities and Investments Commission. (2024). *Annual Review of Audit Quality in Victoria*. Melbourne: ASIC.</w:t>
      </w:r>
    </w:p>
    <w:p>
      <w:pPr>
        <w:numPr>
          <w:ilvl w:val="0"/>
          <w:numId w:val="1001"/>
        </w:numPr>
        <w:pStyle w:val="Compact"/>
      </w:pPr>
      <w:r>
        <w:t xml:space="preserve">Braun, R., &amp; Schneider, A. (2022). "The Impact of AI on Audit Procedures in Australian Firms." *Journal of Accounting Research*, 58(3), 112-130.</w:t>
      </w:r>
    </w:p>
    <w:p>
      <w:pPr>
        <w:numPr>
          <w:ilvl w:val="0"/>
          <w:numId w:val="1001"/>
        </w:numPr>
        <w:pStyle w:val="Compact"/>
      </w:pPr>
      <w:r>
        <w:t xml:space="preserve">Cohen, J., &amp; Sayag, G. (2021). "Ethical Dilemmas in the Modern Audit Profession." *Australian Journal of Business Ethics*, 45(2), 45-67.</w:t>
      </w:r>
    </w:p>
    <w:p>
      <w:pPr>
        <w:numPr>
          <w:ilvl w:val="0"/>
          <w:numId w:val="1001"/>
        </w:numPr>
        <w:pStyle w:val="Compact"/>
      </w:pPr>
      <w:r>
        <w:t xml:space="preserve">Government of Victoria. (2023). *Corporations Act 2001 Amendments and State Regulatory Intersections*. Melbourne: Victorian State Treasury.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Australian Context: A Case Study of Melbourne</dc:title>
  <dc:creator/>
  <dc:language>en</dc:language>
  <cp:keywords/>
  <dcterms:created xsi:type="dcterms:W3CDTF">2026-07-29T13:16:30Z</dcterms:created>
  <dcterms:modified xsi:type="dcterms:W3CDTF">2026-07-29T13:16:30Z</dcterms:modified>
</cp:coreProperties>
</file>

<file path=docProps/custom.xml><?xml version="1.0" encoding="utf-8"?>
<Properties xmlns="http://schemas.openxmlformats.org/officeDocument/2006/custom-properties" xmlns:vt="http://schemas.openxmlformats.org/officeDocument/2006/docPropsVTypes"/>
</file>