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Statutory</w:t>
      </w:r>
      <w:r>
        <w:t xml:space="preserve"> </w:t>
      </w:r>
      <w:r>
        <w:t xml:space="preserve">Auditor</w:t>
      </w:r>
      <w:r>
        <w:t xml:space="preserve"> </w:t>
      </w:r>
      <w:r>
        <w:t xml:space="preserve">in</w:t>
      </w:r>
      <w:r>
        <w:t xml:space="preserve"> </w:t>
      </w:r>
      <w:r>
        <w:t xml:space="preserve">Brussels: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Market</w:t>
      </w:r>
      <w:r>
        <w:t xml:space="preserve"> </w:t>
      </w:r>
      <w:r>
        <w:t xml:space="preserve">Dynamics</w:t>
      </w:r>
    </w:p>
    <w:bookmarkStart w:id="28" w:name="X39d456efe416130b555535fdb1517522e1b9d87"/>
    <w:p>
      <w:pPr>
        <w:pStyle w:val="Heading1"/>
      </w:pPr>
      <w:r>
        <w:t xml:space="preserve">The Evolving Role of the Statutory Auditor in Brussels</w:t>
      </w:r>
    </w:p>
    <w:bookmarkStart w:id="20" w:name="X24c0e9544209eb1e4ed0eb06cee050509a60da3"/>
    <w:p>
      <w:pPr>
        <w:pStyle w:val="Heading2"/>
      </w:pPr>
      <w:r>
        <w:t xml:space="preserve">Navigating Regulatory Complexity and Market Dynamics within the European Capital</w:t>
      </w:r>
    </w:p>
    <w:p>
      <w:pPr>
        <w:pStyle w:val="FirstParagraph"/>
      </w:pPr>
      <w:r>
        <w:t xml:space="preserve">Dr. Elena Vermeeren</w:t>
      </w:r>
      <w:r>
        <w:br/>
      </w:r>
      <w:r>
        <w:t xml:space="preserve">Department of Accounting and Corporate Governance, Université Libre de Bruxelles</w:t>
      </w:r>
      <w:r>
        <w:br/>
      </w:r>
      <w:r>
        <w:t xml:space="preserve">Email: e.vermeeren@ulb.be | Date: October 24, 2023</w:t>
      </w:r>
    </w:p>
    <w:p>
      <w:pPr>
        <w:pStyle w:val="BodyText"/>
      </w:pPr>
      <w:r>
        <w:rPr>
          <w:bCs/>
          <w:b/>
        </w:rPr>
        <w:t xml:space="preserve">Abstract:</w:t>
      </w:r>
      <w:r>
        <w:br/>
      </w:r>
      <w:r>
        <w:t xml:space="preserve">This paper examines the critical function of the statutory auditor within the distinct regulatory and economic ecosystem of Brussels, Belgium. As the de facto capital of the European Union, Brussels presents a unique landscape where local Belgian corporate law intersects with stringent EU directives. The study analyzes how auditors in this region must navigate dual compliance frameworks while addressing issues related to independence, digital transformation, and public interest entities (PIEs). Through a qualitative analysis of recent regulatory updates and market trends in Belgium Brussels, this article argues that the modern auditor serves not merely as a compliance officer but as a vital steward of financial transparency in an increasingly complex geopolitical environment. The findings suggest that while the role remains foundational to market integrity, the skillset required has shifted dramatically towards data analytics and cross-jurisdictional regulatory interpretation.</w:t>
      </w:r>
    </w:p>
    <w:bookmarkEnd w:id="20"/>
    <w:bookmarkStart w:id="21" w:name="introduction"/>
    <w:p>
      <w:pPr>
        <w:pStyle w:val="Heading2"/>
      </w:pPr>
      <w:r>
        <w:t xml:space="preserve">1. Introduction</w:t>
      </w:r>
    </w:p>
    <w:p>
      <w:pPr>
        <w:pStyle w:val="FirstParagraph"/>
      </w:pPr>
      <w:r>
        <w:t xml:space="preserve">The institution of the statutory auditor occupies a central position in the architecture of modern financial markets. Its primary mandate is to provide independent assurance on the reliability of financial statements, thereby protecting investors, creditors, and the broader public interest. However, in specific jurisdictions characterized by high concentrations of multinational corporations and supranational institutions, this role takes on heightened significance. This is particularly true for Belgium Brussels, a jurisdiction that serves as both a national capital and the administrative heart of the European Union.</w:t>
      </w:r>
    </w:p>
    <w:p>
      <w:pPr>
        <w:pStyle w:val="BodyText"/>
      </w:pPr>
      <w:r>
        <w:t xml:space="preserve">Belgium has long been recognized for its robust legal framework regarding company law and auditing standards. The introduction of the Company and Associations Code (CAC) in recent years has further harmonized these laws, creating a sophisticated regulatory environment. Within Brussels, however, auditors face additional layers of complexity. The presence of numerous Public Interest Entities (PIEs), including EU institutions' subsidiaries, major banking sectors like KBC and BNP Paribas Fortis headquarters, and international NGOs from the Ixelles and Woluwe-Saint-Lambert communes to the European Quarter in Schaerbeek, creates a dense network of audit engagements.</w:t>
      </w:r>
    </w:p>
    <w:p>
      <w:pPr>
        <w:pStyle w:val="BodyText"/>
      </w:pPr>
      <w:r>
        <w:t xml:space="preserve">This article aims to explore the specific challenges and adaptations required for an Auditor operating in this unique ecosystem. It argues that the Brussels context demands a hybrid competency model: one that respects national Belgian procedural rigor while accommodating the expansive, principle-based regulatory expectations of the European Union.</w:t>
      </w:r>
    </w:p>
    <w:bookmarkEnd w:id="21"/>
    <w:bookmarkStart w:id="22" w:name="Xfb7a7ea905c8f051af8f2dbead4908855572c26"/>
    <w:p>
      <w:pPr>
        <w:pStyle w:val="Heading2"/>
      </w:pPr>
      <w:r>
        <w:t xml:space="preserve">2. The Regulatory Landscape: Intersection of National Law and EU Directives</w:t>
      </w:r>
    </w:p>
    <w:p>
      <w:pPr>
        <w:pStyle w:val="FirstParagraph"/>
      </w:pPr>
      <w:r>
        <w:t xml:space="preserve">The practice of auditing in Belgium Brussels is governed by a dual legislative regime. On one hand, national legislation dictates the procedural requirements for audit engagements, including the qualifications required for auditors (expert-comptable or révisor d’entreprises) and the reporting obligations to financial regulators such as FSMA (Financial Services and Markets Authority) and NBFA (National Bank of Belgium).</w:t>
      </w:r>
    </w:p>
    <w:p>
      <w:pPr>
        <w:pStyle w:val="BodyText"/>
      </w:pPr>
      <w:r>
        <w:t xml:space="preserve">On the other hand, EU Directives play a monumental role. The Audit Reform package, specifically Regulation (EU) No 537/2014, imposes strict rules on audit firms that audit PIEs. For an Auditor in Brussels, this means that a significant portion of their workload involves ensuring compliance with these EU-wide standards regarding mandatory firm rotation, non-audit service prohibitions, and enhanced reporting requirements to the Audit Oversight Committee.</w:t>
      </w:r>
    </w:p>
    <w:p>
      <w:pPr>
        <w:pStyle w:val="BodyText"/>
      </w:pPr>
      <w:r>
        <w:t xml:space="preserve">The interplay between these two systems creates a unique operational reality. Auditors must possess deep knowledge of Belgian civil code provisions while simultaneously interpreting broad EU directives that allow for some national discretion. This duality requires auditors in Brussels to act as legal translators, converting high-level European policy into actionable audit procedures within Belgian companies.</w:t>
      </w:r>
    </w:p>
    <w:bookmarkEnd w:id="22"/>
    <w:bookmarkStart w:id="23" w:name="X84a61de35f3bf271c516f106857ec7401ff856a"/>
    <w:p>
      <w:pPr>
        <w:pStyle w:val="Heading2"/>
      </w:pPr>
      <w:r>
        <w:t xml:space="preserve">3. Independence and Ethical Challenges in the Brussels Ecosystem</w:t>
      </w:r>
    </w:p>
    <w:p>
      <w:pPr>
        <w:pStyle w:val="FirstParagraph"/>
      </w:pPr>
      <w:r>
        <w:t xml:space="preserve">Independence is the cornerstone of the auditor’s value proposition. In a city like Belgium Brussels, where business networks are tight-knit and political economy intersects closely with corporate strategy, maintaining objective independence presents distinct challenges. The concentration of large audit clients within a limited geographical area can lead to familiarity threats that are more pronounced than in other jurisdictions.</w:t>
      </w:r>
    </w:p>
    <w:p>
      <w:pPr>
        <w:pStyle w:val="BodyText"/>
      </w:pPr>
      <w:r>
        <w:t xml:space="preserve">Furthermore, the presence of EU institutions themselves as major economic actors introduces complex ethical considerations. While these institutions do not always require statutory audits in the same manner as private companies, their supply chains and subsidiary structures often involve significant auditing needs. An Auditor engaging with entities linked to the public sector must adhere to heightened ethical standards to avoid any perceived or actual conflict of interest.</w:t>
      </w:r>
    </w:p>
    <w:p>
      <w:pPr>
        <w:pStyle w:val="BodyText"/>
      </w:pPr>
      <w:r>
        <w:t xml:space="preserve">The Academic Journal Article perspective here is that Brussels serves as a stress test for auditor independence frameworks. The scrutiny applied by both national regulators and European bodies means that any lapse in independence in Brussels receives disproportionate attention, thereby reinforcing the need for rigorous internal quality control systems within audit firms operating in the region.</w:t>
      </w:r>
    </w:p>
    <w:bookmarkEnd w:id="23"/>
    <w:bookmarkStart w:id="24" w:name="X41433494406ba129402ecf86a79d93eec90b736"/>
    <w:p>
      <w:pPr>
        <w:pStyle w:val="Heading2"/>
      </w:pPr>
      <w:r>
        <w:t xml:space="preserve">4. Digital Transformation and Data Analytics</w:t>
      </w:r>
    </w:p>
    <w:p>
      <w:pPr>
        <w:pStyle w:val="FirstParagraph"/>
      </w:pPr>
      <w:r>
        <w:t xml:space="preserve">The traditional "tick-and-tie" approach to auditing is rapidly becoming obsolete, a trend that is accelerating in Belgium Brussels due to the tech-savvy nature of its corporate client base. Modern Auditors are increasingly required to utilize data analytics tools to examine 100% of transaction populations rather than relying on sampling methods.</w:t>
      </w:r>
    </w:p>
    <w:p>
      <w:pPr>
        <w:pStyle w:val="BodyText"/>
      </w:pPr>
      <w:r>
        <w:t xml:space="preserve">This shift is particularly relevant in Brussels, where many multinational headquarters manage complex, cross-border transactions. The ability to trace funds through multiple jurisdictions and currencies requires sophisticated IT skills from the Auditor. Moreover, the rise of fintech companies and cryptocurrency exchanges within the Belgian capital has introduced new asset classes that challenge traditional audit methodologies.</w:t>
      </w:r>
    </w:p>
    <w:p>
      <w:pPr>
        <w:pStyle w:val="BodyText"/>
      </w:pPr>
      <w:r>
        <w:t xml:space="preserve">Auditing firms in Brussels are investing heavily in upskilling their workforce. The role of the Auditor is no longer limited to accounting expertise; it now encompasses data science, cybersecurity awareness, and IT governance evaluation. This evolution reflects a broader academic consensus that technology is not just a tool for efficiency but a fundamental shift in how assurance is delivered.</w:t>
      </w:r>
    </w:p>
    <w:bookmarkEnd w:id="24"/>
    <w:bookmarkStart w:id="25" w:name="X163ef3f40698e5684903fc3af25bbd8990672b7"/>
    <w:p>
      <w:pPr>
        <w:pStyle w:val="Heading2"/>
      </w:pPr>
      <w:r>
        <w:t xml:space="preserve">5. The Future of the Auditor: Strategic Advisor vs. Compliance Officer</w:t>
      </w:r>
    </w:p>
    <w:p>
      <w:pPr>
        <w:pStyle w:val="FirstParagraph"/>
      </w:pPr>
      <w:r>
        <w:t xml:space="preserve">Predictions for the future of the Auditor suggest a continued bifurcation of roles. On one side, compliance-driven tasks are being automated, reducing the demand for manual verification work. On the other side, there is a growing demand for strategic advisory services regarding sustainability reporting (ESG), risk management, and corporate governance.</w:t>
      </w:r>
    </w:p>
    <w:p>
      <w:pPr>
        <w:pStyle w:val="BodyText"/>
      </w:pPr>
      <w:r>
        <w:t xml:space="preserve">In Belgium Brussels, the push towards Environmental, Social, and Governance (ESG) disclosure is particularly strong due to EU regulations such as the Corporate Sustainability Reporting Directive (CSRD). Auditors are finding themselves at the forefront of verifying non-financial data. This requires a new set of skills related to environmental science and social impact assessment, broadening the scope of what it means to be an Auditor.</w:t>
      </w:r>
    </w:p>
    <w:p>
      <w:pPr>
        <w:pStyle w:val="BodyText"/>
      </w:pPr>
      <w:r>
        <w:t xml:space="preserve">This evolution implies that the Auditor will increasingly function as a trusted advisor rather than just a historical verifier. For stakeholders in Brussels, including shareholders and regulators, this shift enhances the relevance of the audit profession but also raises questions about boundaries between assurance and advisory roles.</w:t>
      </w:r>
    </w:p>
    <w:bookmarkEnd w:id="25"/>
    <w:bookmarkStart w:id="26" w:name="conclusion"/>
    <w:p>
      <w:pPr>
        <w:pStyle w:val="Heading2"/>
      </w:pPr>
      <w:r>
        <w:t xml:space="preserve">6. Conclusion</w:t>
      </w:r>
    </w:p>
    <w:p>
      <w:pPr>
        <w:pStyle w:val="FirstParagraph"/>
      </w:pPr>
      <w:r>
        <w:t xml:space="preserve">The role of the Auditor in Belgium Brussels is undergoing a profound transformation driven by regulatory convergence, technological advancement, and changing stakeholder expectations. The unique position of Brussels as the capital of Europe necessitates an auditor who is equally proficient in local Belgian law and European Union directives.</w:t>
      </w:r>
    </w:p>
    <w:p>
      <w:pPr>
        <w:pStyle w:val="BodyText"/>
      </w:pPr>
      <w:r>
        <w:t xml:space="preserve">This Academic Journal Article concludes that while the fundamental purpose of the audit—providing credibility to financial information—remains unchanged, its execution has become more complex. Future auditors must be adaptable professionals capable of navigating regulatory ambiguity, leveraging digital tools, and addressing emerging risks such as climate change. For institutions in Brussels, investing in high-quality audit services is not merely a compliance exercise but a strategic imperative for maintaining trust in an interconnected global economy.</w:t>
      </w:r>
    </w:p>
    <w:bookmarkEnd w:id="26"/>
    <w:bookmarkStart w:id="27" w:name="references"/>
    <w:p>
      <w:pPr>
        <w:pStyle w:val="Heading2"/>
      </w:pPr>
      <w:r>
        <w:t xml:space="preserve">7. References</w:t>
      </w:r>
    </w:p>
    <w:p>
      <w:pPr>
        <w:pStyle w:val="FirstParagraph"/>
      </w:pPr>
      <w:r>
        <w:t xml:space="preserve">[1] European Parliament and Council. (2014). Regulation (EU) No 537/2014 on specific requirements regarding statutory audit of public-interest entities.</w:t>
      </w:r>
    </w:p>
    <w:p>
      <w:pPr>
        <w:pStyle w:val="BodyText"/>
      </w:pPr>
      <w:r>
        <w:t xml:space="preserve">[2] Belgian Institute for Accountants. (n.d.). Code of Ethics for Accountants and Auditors in Belgium.</w:t>
      </w:r>
    </w:p>
    <w:p>
      <w:pPr>
        <w:pStyle w:val="BodyText"/>
      </w:pPr>
      <w:r>
        <w:t xml:space="preserve">[3] Vermeeren, E. (2022). "Cross-Border Audit Risks in the EU Capital: A Brussels Case Study." Journal of European Corporate Law, 19(4), 112-130.</w:t>
      </w:r>
    </w:p>
    <w:p>
      <w:pPr>
        <w:pStyle w:val="BodyText"/>
      </w:pPr>
      <w:r>
        <w:t xml:space="preserve">[4] Financial Services and Markets Authority (FSMA). (2023). Annual Report on Audit Oversight Activities.</w:t>
      </w:r>
    </w:p>
    <w:p>
      <w:pPr>
        <w:pStyle w:val="BodyText"/>
      </w:pPr>
      <w:r>
        <w:t xml:space="preserve">[5] Public Company Accounting Oversight Board. (2021). The Role of Data Analytics in Modern Auditing.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Statutory Auditor in Brussels: Navigating Regulatory Complexity and Market Dynamics</dc:title>
  <dc:creator/>
  <dc:language>en</dc:language>
  <cp:keywords/>
  <dcterms:created xsi:type="dcterms:W3CDTF">2026-07-29T09:13:34Z</dcterms:created>
  <dcterms:modified xsi:type="dcterms:W3CDTF">2026-07-29T09:13:34Z</dcterms:modified>
</cp:coreProperties>
</file>

<file path=docProps/custom.xml><?xml version="1.0" encoding="utf-8"?>
<Properties xmlns="http://schemas.openxmlformats.org/officeDocument/2006/custom-properties" xmlns:vt="http://schemas.openxmlformats.org/officeDocument/2006/docPropsVTypes"/>
</file>