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a3f2f71637a35c2381432aca8b61c337fa9e31"/>
    <w:p>
      <w:pPr>
        <w:pStyle w:val="Heading1"/>
      </w:pPr>
      <w:r>
        <w:t xml:space="preserve">The Evolving Landscape of Assurance Services in the Financial Sector</w:t>
      </w:r>
      <w:r>
        <w:br/>
      </w:r>
      <w:r>
        <w:t xml:space="preserve">A Critical Analysis of Auditor Responsibilities within Canada Toronto</w:t>
      </w:r>
    </w:p>
    <w:p>
      <w:pPr>
        <w:pStyle w:val="FirstParagraph"/>
      </w:pPr>
      <w:r>
        <w:rPr>
          <w:iCs/>
          <w:i/>
          <w:bCs/>
          <w:b/>
        </w:rPr>
        <w:t xml:space="preserve">Abstract:</w:t>
      </w:r>
    </w:p>
    <w:p>
      <w:pPr>
        <w:pStyle w:val="BodyText"/>
      </w:pPr>
      <w:r>
        <w:t xml:space="preserve">This article examines the evolving role and responsibilities of the Auditor within the dynamic economic landscape of Canada Toronto. As a global hub for banking, finance, and trade, this jurisdiction demands rigorous adherence to international standards while navigating local regulatory frameworks. This study analyzes how Auditors in Canada Toronto are adapting to digital transformation, increasing complexity in financial instruments, and heightened public scrutiny. The findings suggest that modern auditing practices must transcend traditional compliance checks to become strategic advisory roles that ensure transparency and trust in the region’s financial ecosystem.</w:t>
      </w:r>
    </w:p>
    <w:bookmarkStart w:id="20" w:name="introduction"/>
    <w:p>
      <w:pPr>
        <w:pStyle w:val="Heading2"/>
      </w:pPr>
      <w:r>
        <w:t xml:space="preserve">Introduction</w:t>
      </w:r>
    </w:p>
    <w:p>
      <w:pPr>
        <w:pStyle w:val="FirstParagraph"/>
      </w:pPr>
      <w:r>
        <w:t xml:space="preserve">The integrity of financial reporting is the bedrock upon which capital markets operate. In the context of</w:t>
      </w:r>
      <w:r>
        <w:t xml:space="preserve"> </w:t>
      </w:r>
      <w:r>
        <w:rPr>
          <w:bCs/>
          <w:b/>
        </w:rPr>
        <w:t xml:space="preserve">Auditor</w:t>
      </w:r>
      <w:r>
        <w:t xml:space="preserve"> </w:t>
      </w:r>
      <w:r>
        <w:t xml:space="preserve">functions, this role has traditionally been viewed through a lens of retrospective verification. However, as economies become increasingly interconnected and complex, the mandate for an Auditor expands significantly beyond simple error detection to encompass risk management, internal control evaluation, and strategic foresight. This article focuses specifically on the unique challenges faced by professionals practicing as an Auditor in</w:t>
      </w:r>
      <w:r>
        <w:t xml:space="preserve"> </w:t>
      </w:r>
      <w:r>
        <w:rPr>
          <w:bCs/>
          <w:b/>
        </w:rPr>
        <w:t xml:space="preserve">Canada Toronto</w:t>
      </w:r>
      <w:r>
        <w:t xml:space="preserve">, a city that serves not only as Canada’s financial capital but also as one of North America’s most significant commercial centers.</w:t>
      </w:r>
    </w:p>
    <w:p>
      <w:pPr>
        <w:pStyle w:val="BodyText"/>
      </w:pPr>
      <w:r>
        <w:t xml:space="preserve">Toronto, located in the province of Ontario, hosts major institutions such as the Toronto Stock Exchange and the head offices of all five "Big Five" Canadian banks. Consequently, the demand for high-quality assurance services is immense. The</w:t>
      </w:r>
      <w:r>
        <w:t xml:space="preserve"> </w:t>
      </w:r>
      <w:r>
        <w:rPr>
          <w:bCs/>
          <w:b/>
        </w:rPr>
        <w:t xml:space="preserve">Auditor</w:t>
      </w:r>
      <w:r>
        <w:t xml:space="preserve"> </w:t>
      </w:r>
      <w:r>
        <w:t xml:space="preserve">operating in this environment must possess a nuanced understanding of both International Standards on Auditing (ISA) and Canadian generally accepted auditing standards (GAAS). Furthermore, the specific regulatory pressures from bodies such as the Financial Reporting Council (FRC) and local provincial oversight mechanisms require specialized knowledge. This paper argues that the modern Auditor in</w:t>
      </w:r>
      <w:r>
        <w:t xml:space="preserve"> </w:t>
      </w:r>
      <w:r>
        <w:rPr>
          <w:bCs/>
          <w:b/>
        </w:rPr>
        <w:t xml:space="preserve">Canada Toronto</w:t>
      </w:r>
      <w:r>
        <w:t xml:space="preserve"> </w:t>
      </w:r>
      <w:r>
        <w:t xml:space="preserve">must adopt a hybrid approach, combining technical accounting expertise with advanced data analytics capabilities to maintain stakeholder confidence.</w:t>
      </w:r>
    </w:p>
    <w:bookmarkEnd w:id="20"/>
    <w:bookmarkStart w:id="21" w:name="X8772f9cb494649ebd38c41b6717600a86d420d1"/>
    <w:p>
      <w:pPr>
        <w:pStyle w:val="Heading2"/>
      </w:pPr>
      <w:r>
        <w:t xml:space="preserve">The Regulatory Framework and Compliance Challenges</w:t>
      </w:r>
    </w:p>
    <w:p>
      <w:pPr>
        <w:pStyle w:val="FirstParagraph"/>
      </w:pPr>
      <w:r>
        <w:t xml:space="preserve">Navigating the regulatory environment for an Auditor in</w:t>
      </w:r>
      <w:r>
        <w:t xml:space="preserve"> </w:t>
      </w:r>
      <w:r>
        <w:rPr>
          <w:bCs/>
          <w:b/>
        </w:rPr>
        <w:t xml:space="preserve">Canada Toronto</w:t>
      </w:r>
      <w:r>
        <w:t xml:space="preserve"> </w:t>
      </w:r>
      <w:r>
        <w:t xml:space="preserve">involves compliance with a multi-layered framework. At the federal level, the Canada Business Corporations Act (CBCA) sets foundational requirements for corporate governance and financial disclosure. Simultaneously, provincial regulations under Ontario law dictate specific filing deadlines and audit committee requirements. For an Auditor, this dual-layered oversight creates a complex landscape where non-compliance can result in severe legal repercussions and reputational damage.</w:t>
      </w:r>
    </w:p>
    <w:p>
      <w:pPr>
        <w:pStyle w:val="BodyText"/>
      </w:pPr>
      <w:r>
        <w:t xml:space="preserve">Moreover, the increasing emphasis on environmental, social, and governance (ESG) reporting has introduced new compliance burdens. Auditors in</w:t>
      </w:r>
      <w:r>
        <w:t xml:space="preserve"> </w:t>
      </w:r>
      <w:r>
        <w:rPr>
          <w:bCs/>
          <w:b/>
        </w:rPr>
        <w:t xml:space="preserve">Canada Toronto</w:t>
      </w:r>
      <w:r>
        <w:t xml:space="preserve"> </w:t>
      </w:r>
      <w:r>
        <w:t xml:space="preserve">are increasingly tasked with verifying non-financial data alongside traditional financial statements. This shift requires a broader skill set and a deeper understanding of sustainability standards such as those proposed by the International Sustainability Standards Board (ISSB). The role of the Auditor is thus expanding to include assurance over ESG metrics, ensuring that companies operating in this region are not only financially sound but also socially responsible.</w:t>
      </w:r>
    </w:p>
    <w:bookmarkEnd w:id="21"/>
    <w:bookmarkStart w:id="22" w:name="Xf815b0714f6f4375798822bbe4346d29eff0318"/>
    <w:p>
      <w:pPr>
        <w:pStyle w:val="Heading2"/>
      </w:pPr>
      <w:r>
        <w:t xml:space="preserve">Technological Disruption and Data Analytics</w:t>
      </w:r>
    </w:p>
    <w:p>
      <w:pPr>
        <w:pStyle w:val="FirstParagraph"/>
      </w:pPr>
      <w:r>
        <w:t xml:space="preserve">The advent of Big Data, artificial intelligence (AI), and machine learning has fundamentally altered the methodology employed by an Auditor. In</w:t>
      </w:r>
      <w:r>
        <w:t xml:space="preserve"> </w:t>
      </w:r>
      <w:r>
        <w:rPr>
          <w:bCs/>
          <w:b/>
        </w:rPr>
        <w:t xml:space="preserve">Canada Toronto</w:t>
      </w:r>
      <w:r>
        <w:t xml:space="preserve">, where technological innovation is a key driver of economic growth, firms are pressured to adopt these technologies to remain competitive and efficient. Traditional sampling methods are being replaced by full-population testing enabled by advanced data analytics tools.</w:t>
      </w:r>
    </w:p>
    <w:p>
      <w:pPr>
        <w:pStyle w:val="BodyText"/>
      </w:pPr>
      <w:r>
        <w:t xml:space="preserve">This technological shift offers several advantages, including the ability to detect anomalies and potential fraud with greater precision. For instance, algorithms can analyze millions of transactions in real-time, flagging irregular patterns that might escape human review. However, this transition also presents challenges related to cybersecurity and data privacy. Auditors must ensure that the systems they use to process financial data are secure and compliant with Canadian privacy laws such as PIPEDA (Personal Information Protection and Electronic Documents Act). The Auditor in</w:t>
      </w:r>
      <w:r>
        <w:t xml:space="preserve"> </w:t>
      </w:r>
      <w:r>
        <w:rPr>
          <w:bCs/>
          <w:b/>
        </w:rPr>
        <w:t xml:space="preserve">Canada Toronto</w:t>
      </w:r>
      <w:r>
        <w:t xml:space="preserve"> </w:t>
      </w:r>
      <w:r>
        <w:t xml:space="preserve">must therefore act not only as a financial verifier but also as a guardian of digital integrity.</w:t>
      </w:r>
    </w:p>
    <w:bookmarkEnd w:id="22"/>
    <w:bookmarkStart w:id="23" w:name="Xed9446829739a99aa5608868893c07e4f5fb3db"/>
    <w:p>
      <w:pPr>
        <w:pStyle w:val="Heading2"/>
      </w:pPr>
      <w:r>
        <w:t xml:space="preserve">The Role of Professional Skepticism and Ethical Standards</w:t>
      </w:r>
    </w:p>
    <w:p>
      <w:pPr>
        <w:pStyle w:val="FirstParagraph"/>
      </w:pPr>
      <w:r>
        <w:t xml:space="preserve">Despite technological advancements, the core attribute of an Auditor remains professional skepticism. This involves maintaining an objective mindset and critically assessing audit evidence. In</w:t>
      </w:r>
      <w:r>
        <w:t xml:space="preserve"> </w:t>
      </w:r>
      <w:r>
        <w:rPr>
          <w:bCs/>
          <w:b/>
        </w:rPr>
        <w:t xml:space="preserve">Canada Toronto</w:t>
      </w:r>
      <w:r>
        <w:t xml:space="preserve">, where high-stakes mergers and acquisitions are frequent, the pressure to please management can sometimes compromise independence. Regulatory bodies have intensified their focus on auditor independence, requiring strict rotation policies and limitations on non-audit services provided by the same firm.</w:t>
      </w:r>
    </w:p>
    <w:p>
      <w:pPr>
        <w:pStyle w:val="BodyText"/>
      </w:pPr>
      <w:r>
        <w:t xml:space="preserve">Ethical considerations are paramount for an Auditor operating in this competitive market. The potential conflicts of interest between consulting services and auditing functions must be carefully managed. Professional codes of conduct emphasize the importance of integrity, objectivity, and professional competence. For Auditors in</w:t>
      </w:r>
      <w:r>
        <w:t xml:space="preserve"> </w:t>
      </w:r>
      <w:r>
        <w:rPr>
          <w:bCs/>
          <w:b/>
        </w:rPr>
        <w:t xml:space="preserve">Canada Toronto</w:t>
      </w:r>
      <w:r>
        <w:t xml:space="preserve">, adhering to these ethical standards is crucial for maintaining public trust. Failure to do so can lead not only to individual liability but also to systemic risks that could impact the stability of the financial markets.</w:t>
      </w:r>
    </w:p>
    <w:bookmarkEnd w:id="23"/>
    <w:bookmarkStart w:id="24" w:name="skill-development-and-future-outlook"/>
    <w:p>
      <w:pPr>
        <w:pStyle w:val="Heading2"/>
      </w:pPr>
      <w:r>
        <w:t xml:space="preserve">Skill Development and Future Outlook</w:t>
      </w:r>
    </w:p>
    <w:p>
      <w:pPr>
        <w:pStyle w:val="FirstParagraph"/>
      </w:pPr>
      <w:r>
        <w:t xml:space="preserve">The future of auditing in</w:t>
      </w:r>
      <w:r>
        <w:t xml:space="preserve"> </w:t>
      </w:r>
      <w:r>
        <w:rPr>
          <w:bCs/>
          <w:b/>
        </w:rPr>
        <w:t xml:space="preserve">Canada Toronto</w:t>
      </w:r>
      <w:r>
        <w:t xml:space="preserve"> </w:t>
      </w:r>
      <w:r>
        <w:t xml:space="preserve">requires a continuous investment in human capital. The modern Auditor must be proficient not only in accounting principles but also in IT systems, data science, and regulatory law. Educational institutions and professional bodies such as the Chartered Professional Accountants (CPA) Canada are responding by updating curricula to include modules on data analytics, cybersecurity, and ESG assurance.</w:t>
      </w:r>
    </w:p>
    <w:p>
      <w:pPr>
        <w:pStyle w:val="BodyText"/>
      </w:pPr>
      <w:r>
        <w:t xml:space="preserve">Furthermore, soft skills such as communication and leadership are becoming increasingly important. Auditors must be able to translate complex financial findings into actionable insights for stakeholders who may lack technical expertise. In the vibrant business environment of</w:t>
      </w:r>
      <w:r>
        <w:t xml:space="preserve"> </w:t>
      </w:r>
      <w:r>
        <w:rPr>
          <w:bCs/>
          <w:b/>
        </w:rPr>
        <w:t xml:space="preserve">Canada Toronto</w:t>
      </w:r>
      <w:r>
        <w:t xml:space="preserve">, the ability to communicate effectively with diverse stakeholders—from board members to retail investors—is essential for delivering value beyond compliance.</w:t>
      </w:r>
    </w:p>
    <w:bookmarkEnd w:id="24"/>
    <w:bookmarkStart w:id="25" w:name="conclusion"/>
    <w:p>
      <w:pPr>
        <w:pStyle w:val="Heading2"/>
      </w:pPr>
      <w:r>
        <w:t xml:space="preserve">Conclusion</w:t>
      </w:r>
    </w:p>
    <w:p>
      <w:pPr>
        <w:pStyle w:val="FirstParagraph"/>
      </w:pPr>
      <w:r>
        <w:t xml:space="preserve">In conclusion, the role of an Auditor in</w:t>
      </w:r>
      <w:r>
        <w:t xml:space="preserve"> </w:t>
      </w:r>
      <w:r>
        <w:rPr>
          <w:bCs/>
          <w:b/>
        </w:rPr>
        <w:t xml:space="preserve">Canada Toronto</w:t>
      </w:r>
      <w:r>
        <w:t xml:space="preserve"> </w:t>
      </w:r>
      <w:r>
        <w:t xml:space="preserve">is undergoing a profound transformation. Driven by regulatory changes, technological innovation, and evolving societal expectations, auditors must adopt a more holistic and proactive approach to their work. They are no longer merely historical recorders of financial events but are becoming strategic partners in ensuring organizational resilience and transparency. As the financial landscape continues to evolve, it is imperative that Auditors remain agile, ethically grounded, and technologically adept. By embracing these changes, professionals can uphold the highest standards of assurance and contribute to the sustained growth and stability of Canada Toronto’s financial sector.</w:t>
      </w:r>
    </w:p>
    <w:bookmarkEnd w:id="25"/>
    <w:bookmarkStart w:id="26" w:name="references"/>
    <w:p>
      <w:pPr>
        <w:pStyle w:val="Heading2"/>
      </w:pPr>
      <w:r>
        <w:t xml:space="preserve">References</w:t>
      </w:r>
    </w:p>
    <w:p>
      <w:pPr>
        <w:pStyle w:val="FirstParagraph"/>
      </w:pPr>
      <w:r>
        <w:rPr>
          <w:iCs/>
          <w:i/>
        </w:rPr>
        <w:t xml:space="preserve">Note: The references below are illustrative for this academic context.</w:t>
      </w:r>
    </w:p>
    <w:p>
      <w:pPr>
        <w:numPr>
          <w:ilvl w:val="0"/>
          <w:numId w:val="1001"/>
        </w:numPr>
        <w:pStyle w:val="Compact"/>
      </w:pPr>
      <w:r>
        <w:t xml:space="preserve">Freshfields Bruckhaus Deringer. (2023). *Corporate Governance Trends in Canada*. Toronto: Freshfields Publication.</w:t>
      </w:r>
    </w:p>
    <w:p>
      <w:pPr>
        <w:numPr>
          <w:ilvl w:val="0"/>
          <w:numId w:val="1001"/>
        </w:numPr>
        <w:pStyle w:val="Compact"/>
      </w:pPr>
      <w:r>
        <w:t xml:space="preserve">Institute of Chartered Professional Accountants of Ontario. (2024). *Standards for Assurance Services in the Digital Age*. Toronto: CPA Ontario.</w:t>
      </w:r>
    </w:p>
    <w:p>
      <w:pPr>
        <w:numPr>
          <w:ilvl w:val="0"/>
          <w:numId w:val="1001"/>
        </w:numPr>
        <w:pStyle w:val="Compact"/>
      </w:pPr>
      <w:r>
        <w:t xml:space="preserve">International Auditing and Assurance Standards Board. (2023). *International Standard on Auditing 701: Communicating Key Audit Matters in the Independent Auditor’s Report*. London: IAASB.</w:t>
      </w:r>
    </w:p>
    <w:p>
      <w:pPr>
        <w:numPr>
          <w:ilvl w:val="0"/>
          <w:numId w:val="1001"/>
        </w:numPr>
        <w:pStyle w:val="Compact"/>
      </w:pPr>
      <w:r>
        <w:t xml:space="preserve">KPMG Canada. (2023). *The Future of Audit: Technology and Talent in Toronto Markets*. Toronto: KPMG LLP.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2026-07-29T15:23:34Z</dcterms:created>
  <dcterms:modified xsi:type="dcterms:W3CDTF">2026-07-29T15:23:34Z</dcterms:modified>
</cp:coreProperties>
</file>

<file path=docProps/custom.xml><?xml version="1.0" encoding="utf-8"?>
<Properties xmlns="http://schemas.openxmlformats.org/officeDocument/2006/custom-properties" xmlns:vt="http://schemas.openxmlformats.org/officeDocument/2006/docPropsVTypes"/>
</file>