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Market</w:t>
      </w:r>
      <w:r>
        <w:t xml:space="preserve"> </w:t>
      </w:r>
      <w:r>
        <w:t xml:space="preserve">Integrity</w:t>
      </w:r>
    </w:p>
    <w:bookmarkStart w:id="29" w:name="Xafafb63a44c66233b9c607352ba51af43cd7ea2"/>
    <w:p>
      <w:pPr>
        <w:pStyle w:val="Heading1"/>
      </w:pPr>
      <w:r>
        <w:t xml:space="preserve">The Evolving Role of the Auditor in China Guangzhou: Navigating Regulatory Complexity and Market Integrity</w:t>
      </w:r>
    </w:p>
    <w:p>
      <w:pPr>
        <w:pStyle w:val="FirstParagraph"/>
      </w:pPr>
      <w:r>
        <w:rPr>
          <w:bCs/>
          <w:b/>
        </w:rPr>
        <w:t xml:space="preserve">Author:</w:t>
      </w:r>
      <w:r>
        <w:br/>
      </w:r>
      <w:r>
        <w:t xml:space="preserve">Alexander J. Sterling, PhD</w:t>
      </w:r>
      <w:r>
        <w:br/>
      </w:r>
      <w:r>
        <w:t xml:space="preserve">Institute of International Financial Regulation</w:t>
      </w:r>
      <w:r>
        <w:br/>
      </w:r>
      <w:r>
        <w:t xml:space="preserve">Email: a.sterling@research.org</w:t>
      </w:r>
    </w:p>
    <w:bookmarkStart w:id="20" w:name="abstract"/>
    <w:p>
      <w:pPr>
        <w:pStyle w:val="Heading3"/>
      </w:pPr>
      <w:r>
        <w:t xml:space="preserve">Abstract</w:t>
      </w:r>
    </w:p>
    <w:p>
      <w:pPr>
        <w:pStyle w:val="FirstParagraph"/>
      </w:pPr>
      <w:r>
        <w:t xml:space="preserve">This article examines the critical function of the</w:t>
      </w:r>
      <w:r>
        <w:t xml:space="preserve"> </w:t>
      </w:r>
      <w:r>
        <w:rPr>
          <w:bCs/>
          <w:b/>
        </w:rPr>
        <w:t xml:space="preserve">Auditor</w:t>
      </w:r>
      <w:r>
        <w:t xml:space="preserve"> </w:t>
      </w:r>
      <w:r>
        <w:t xml:space="preserve">within the rapidly expanding economic ecosystem of China Guangzhou. As Guangzhou solidifies its position as a pivotal hub for trade, technology, and foreign direct investment in Southern China, the demand for rigorous financial oversight has intensified. This paper analyzes how local audit practices align with national regulatory frameworks while addressing region-specific challenges such as cross-border transactions, digital economy compliance, and supply chain transparency. The study argues that the modern</w:t>
      </w:r>
      <w:r>
        <w:t xml:space="preserve"> </w:t>
      </w:r>
      <w:r>
        <w:rPr>
          <w:bCs/>
          <w:b/>
        </w:rPr>
        <w:t xml:space="preserve">Auditor</w:t>
      </w:r>
      <w:r>
        <w:t xml:space="preserve"> </w:t>
      </w:r>
      <w:r>
        <w:t xml:space="preserve">in China Guangzhou must transcend traditional compliance roles to become strategic advisors on risk management and ethical governance, thereby enhancing investor confidence in one of Asia’s most dynamic markets.</w:t>
      </w:r>
    </w:p>
    <w:bookmarkEnd w:id="20"/>
    <w:bookmarkStart w:id="21" w:name="introduction"/>
    <w:p>
      <w:pPr>
        <w:pStyle w:val="Heading2"/>
      </w:pPr>
      <w:r>
        <w:t xml:space="preserve">Introduction</w:t>
      </w:r>
    </w:p>
    <w:p>
      <w:pPr>
        <w:pStyle w:val="FirstParagraph"/>
      </w:pPr>
      <w:r>
        <w:t xml:space="preserve">The economic landscape of Southern China has undergone a profound transformation over the past two decades, with</w:t>
      </w:r>
      <w:r>
        <w:t xml:space="preserve"> </w:t>
      </w:r>
      <w:r>
        <w:rPr>
          <w:bCs/>
          <w:b/>
        </w:rPr>
        <w:t xml:space="preserve">China Guangzhou</w:t>
      </w:r>
      <w:r>
        <w:t xml:space="preserve"> </w:t>
      </w:r>
      <w:r>
        <w:t xml:space="preserve">emerging as a linchpin in the Greater Bay Area initiative. As a historical treaty port and current technological powerhouse, Guangzhou attracts diverse industries ranging from traditional manufacturing to advanced artificial intelligence research. Within this complex environment, the role of the</w:t>
      </w:r>
      <w:r>
        <w:t xml:space="preserve"> </w:t>
      </w:r>
      <w:r>
        <w:rPr>
          <w:bCs/>
          <w:b/>
        </w:rPr>
        <w:t xml:space="preserve">Auditor</w:t>
      </w:r>
      <w:r>
        <w:t xml:space="preserve"> </w:t>
      </w:r>
      <w:r>
        <w:t xml:space="preserve">has shifted from a retrospective checker of accounts to a forward-looking guardian of market integrity. This article explores the multifaceted responsibilities of auditors operating in this jurisdiction, highlighting how they navigate the intersection of Chinese accounting standards (CAS), International Financial Reporting Standards (IFRS), and local municipal regulations.</w:t>
      </w:r>
    </w:p>
    <w:bookmarkEnd w:id="21"/>
    <w:bookmarkStart w:id="22" w:name="Xbe6b9cc1a657f53d4dfc546f84eadfc410816df"/>
    <w:p>
      <w:pPr>
        <w:pStyle w:val="Heading2"/>
      </w:pPr>
      <w:r>
        <w:t xml:space="preserve">The Regulatory Framework: National Standards vs. Local Implementation</w:t>
      </w:r>
    </w:p>
    <w:p>
      <w:pPr>
        <w:pStyle w:val="FirstParagraph"/>
      </w:pPr>
      <w:r>
        <w:t xml:space="preserve">To understand the operational context of an</w:t>
      </w:r>
      <w:r>
        <w:t xml:space="preserve"> </w:t>
      </w:r>
      <w:r>
        <w:rPr>
          <w:bCs/>
          <w:b/>
        </w:rPr>
        <w:t xml:space="preserve">Auditor</w:t>
      </w:r>
      <w:r>
        <w:t xml:space="preserve"> </w:t>
      </w:r>
      <w:r>
        <w:t xml:space="preserve">in China Guangzhou, one must first appreciate the dual-layered regulatory environment. At the national level, auditors are bound by strict guidelines issued by the Ministry of Finance and the Chinese Institute of Certified Public Accountants (CICPA). However,</w:t>
      </w:r>
      <w:r>
        <w:t xml:space="preserve"> </w:t>
      </w:r>
      <w:r>
        <w:rPr>
          <w:bCs/>
          <w:b/>
        </w:rPr>
        <w:t xml:space="preserve">China Guangzhou</w:t>
      </w:r>
      <w:r>
        <w:t xml:space="preserve">, being a pilot zone for many economic reforms often implements these standards with unique local nuances. For instance, while national laws emphasize state-owned enterprise (SOE) accountability, Guangzhou’s municipal authorities place significant emphasis on the transparency of private enterprises and joint ventures.</w:t>
      </w:r>
    </w:p>
    <w:p>
      <w:pPr>
        <w:pStyle w:val="BodyText"/>
      </w:pPr>
      <w:r>
        <w:t xml:space="preserve">The</w:t>
      </w:r>
      <w:r>
        <w:t xml:space="preserve"> </w:t>
      </w:r>
      <w:r>
        <w:rPr>
          <w:bCs/>
          <w:b/>
        </w:rPr>
        <w:t xml:space="preserve">Auditor</w:t>
      </w:r>
      <w:r>
        <w:t xml:space="preserve"> </w:t>
      </w:r>
      <w:r>
        <w:t xml:space="preserve">must therefore possess a nuanced understanding of how national policies are interpreted at the local government level. In Guangzhou, there is a strong push for digitalization in tax administration and financial reporting. Auditors are increasingly required to utilize big data analytics to verify transactions, ensuring that companies adhere not only to letter of the law but also to the spirit of fiscal responsibility promoted by local governance bodies.</w:t>
      </w:r>
    </w:p>
    <w:bookmarkEnd w:id="22"/>
    <w:bookmarkStart w:id="23" w:name="X2737b2d54eb3250526774621a3ca7adc6012cfc"/>
    <w:p>
      <w:pPr>
        <w:pStyle w:val="Heading2"/>
      </w:pPr>
      <w:r>
        <w:t xml:space="preserve">Challenges Specific to Guangzhou’s Economic Structure</w:t>
      </w:r>
    </w:p>
    <w:p>
      <w:pPr>
        <w:pStyle w:val="FirstParagraph"/>
      </w:pPr>
      <w:r>
        <w:t xml:space="preserve">The unique economic profile of</w:t>
      </w:r>
      <w:r>
        <w:t xml:space="preserve"> </w:t>
      </w:r>
      <w:r>
        <w:rPr>
          <w:bCs/>
          <w:b/>
        </w:rPr>
        <w:t xml:space="preserve">China Guangzhou</w:t>
      </w:r>
      <w:r>
        <w:t xml:space="preserve"> </w:t>
      </w:r>
      <w:r>
        <w:t xml:space="preserve">presents specific challenges for financial professionals. The city is renowned for its extensive wholesale markets and export-oriented businesses. Consequently, auditors face the complex task of verifying revenue recognition in high-volume, low-margin transactions. In traditional trading sectors, cash flows can be rapid and fragmented, requiring auditors to implement robust internal control testing procedures.</w:t>
      </w:r>
    </w:p>
    <w:p>
      <w:pPr>
        <w:pStyle w:val="BodyText"/>
      </w:pPr>
      <w:r>
        <w:t xml:space="preserve">Furthermore, as Guangzhou transitions toward a knowledge-based economy involving biotechnology and smart manufacturing, the valuation of intangible assets becomes critical. An</w:t>
      </w:r>
      <w:r>
        <w:t xml:space="preserve"> </w:t>
      </w:r>
      <w:r>
        <w:rPr>
          <w:bCs/>
          <w:b/>
        </w:rPr>
        <w:t xml:space="preserve">Auditor</w:t>
      </w:r>
      <w:r>
        <w:t xml:space="preserve"> </w:t>
      </w:r>
      <w:r>
        <w:t xml:space="preserve">must possess specialized technical knowledge to assess the impairment of research and development costs, a area where subjective judgment plays a significant role. The lack of standardized metrics for valuing intellectual property in emerging tech sectors requires auditors to engage closely with industry experts, blending financial scrutiny with technological due diligence.</w:t>
      </w:r>
    </w:p>
    <w:bookmarkEnd w:id="23"/>
    <w:bookmarkStart w:id="24" w:name="X9824278d614f14eeb99430340c564db9a47777b"/>
    <w:p>
      <w:pPr>
        <w:pStyle w:val="Heading2"/>
      </w:pPr>
      <w:r>
        <w:t xml:space="preserve">The Impact of Cross-Border Trade and Globalization</w:t>
      </w:r>
    </w:p>
    <w:p>
      <w:pPr>
        <w:pStyle w:val="FirstParagraph"/>
      </w:pPr>
      <w:r>
        <w:t xml:space="preserve">As a major gateway for international trade, Guangzhou sees a high volume of cross-border transactions. For multinational corporations operating in</w:t>
      </w:r>
      <w:r>
        <w:t xml:space="preserve"> </w:t>
      </w:r>
      <w:r>
        <w:rPr>
          <w:bCs/>
          <w:b/>
        </w:rPr>
        <w:t xml:space="preserve">China Guangzhou</w:t>
      </w:r>
      <w:r>
        <w:t xml:space="preserve">, the primary concern is often compliance with both local tax laws and foreign anti-bribery regulations such as the U.S. Foreign Corrupt Practices Act (FCPA) or the UK Bribery Act. The role of the</w:t>
      </w:r>
      <w:r>
        <w:t xml:space="preserve"> </w:t>
      </w:r>
      <w:r>
        <w:rPr>
          <w:bCs/>
          <w:b/>
        </w:rPr>
        <w:t xml:space="preserve">Auditor</w:t>
      </w:r>
      <w:r>
        <w:t xml:space="preserve"> </w:t>
      </w:r>
      <w:r>
        <w:t xml:space="preserve">has thus expanded to include forensic accounting capabilities.</w:t>
      </w:r>
    </w:p>
    <w:p>
      <w:pPr>
        <w:pStyle w:val="BodyText"/>
      </w:pPr>
      <w:r>
        <w:t xml:space="preserve">Auditors in this region are frequently tasked with reviewing third-party intermediaries and distributors to ensure that marketing expenses and consulting fees do not serve as vehicles for illicit payments. This heightened scrutiny is driven by both global investor demands and China’s ongoing anti-corruption campaigns. The modern auditor must therefore act as a compliance detective, identifying red flags in supply chain logistics that could indicate regulatory breaches or reputational risks.</w:t>
      </w:r>
    </w:p>
    <w:bookmarkEnd w:id="24"/>
    <w:bookmarkStart w:id="25" w:name="X94090b3aa157d5989441cf6b8f78ba17e93c5d4"/>
    <w:p>
      <w:pPr>
        <w:pStyle w:val="Heading2"/>
      </w:pPr>
      <w:r>
        <w:t xml:space="preserve">Digital Transformation and Auditing Technology</w:t>
      </w:r>
    </w:p>
    <w:p>
      <w:pPr>
        <w:pStyle w:val="FirstParagraph"/>
      </w:pPr>
      <w:r>
        <w:t xml:space="preserve">The digital economy is thriving in</w:t>
      </w:r>
      <w:r>
        <w:t xml:space="preserve"> </w:t>
      </w:r>
      <w:r>
        <w:rPr>
          <w:bCs/>
          <w:b/>
        </w:rPr>
        <w:t xml:space="preserve">China Guangzhou</w:t>
      </w:r>
      <w:r>
        <w:t xml:space="preserve">, particularly within its e-commerce platforms and fintech startups. This shift has necessitated a technological overhaul in auditing methodologies. Traditional sampling techniques are often insufficient for analyzing the massive datasets generated by digital platforms. Consequently, auditors are increasingly adopting continuous auditing systems and artificial intelligence tools to detect anomalies in real-time.</w:t>
      </w:r>
    </w:p>
    <w:p>
      <w:pPr>
        <w:pStyle w:val="BodyText"/>
      </w:pPr>
      <w:r>
        <w:t xml:space="preserve">In this context, the</w:t>
      </w:r>
      <w:r>
        <w:t xml:space="preserve"> </w:t>
      </w:r>
      <w:r>
        <w:rPr>
          <w:bCs/>
          <w:b/>
        </w:rPr>
        <w:t xml:space="preserve">Auditor</w:t>
      </w:r>
      <w:r>
        <w:t xml:space="preserve"> </w:t>
      </w:r>
      <w:r>
        <w:t xml:space="preserve">must be proficient in data science concepts, including machine learning algorithms used for fraud detection. The integration of blockchain technology for supply chain verification is also gaining traction in Guangzhou’s manufacturing sector. Auditors are tasked with verifying the immutability of digital ledgers, ensuring that data integrity is maintained from raw material sourcing to final consumer delivery. This technological fluency is no longer optional but a core competency for auditors aiming to provide value-added services in this advanced market.</w:t>
      </w:r>
    </w:p>
    <w:bookmarkEnd w:id="25"/>
    <w:bookmarkStart w:id="26" w:name="X8e992bf72b880ece695f37cb58c2832510073af"/>
    <w:p>
      <w:pPr>
        <w:pStyle w:val="Heading2"/>
      </w:pPr>
      <w:r>
        <w:t xml:space="preserve">Ethical Considerations and Professional Independence</w:t>
      </w:r>
    </w:p>
    <w:p>
      <w:pPr>
        <w:pStyle w:val="FirstParagraph"/>
      </w:pPr>
      <w:r>
        <w:t xml:space="preserve">A significant challenge facing the audit profession globally, and specifically in</w:t>
      </w:r>
      <w:r>
        <w:t xml:space="preserve"> </w:t>
      </w:r>
      <w:r>
        <w:rPr>
          <w:bCs/>
          <w:b/>
        </w:rPr>
        <w:t xml:space="preserve">China Guangzhou</w:t>
      </w:r>
      <w:r>
        <w:t xml:space="preserve">, is maintaining professional independence. In close-knit business communities, relationships often play a crucial role in commercial success. Auditors may face pressure to overlook minor irregularities to maintain client relationships or satisfy local government development goals. Therefore, upholding ethical standards is paramount.</w:t>
      </w:r>
    </w:p>
    <w:p>
      <w:pPr>
        <w:pStyle w:val="BodyText"/>
      </w:pPr>
      <w:r>
        <w:t xml:space="preserve">The</w:t>
      </w:r>
      <w:r>
        <w:t xml:space="preserve"> </w:t>
      </w:r>
      <w:r>
        <w:rPr>
          <w:bCs/>
          <w:b/>
        </w:rPr>
        <w:t xml:space="preserve">Auditor</w:t>
      </w:r>
      <w:r>
        <w:t xml:space="preserve"> </w:t>
      </w:r>
      <w:r>
        <w:t xml:space="preserve">must adhere strictly to codes of conduct that emphasize objectivity, integrity, and confidentiality. Professional bodies in Guangzhou are increasingly promoting a culture of zero tolerance for audit failures. Whistleblower mechanisms and independent review boards are being strengthened to protect auditors who report non-compliance. This institutional support is vital for ensuring that the credibility of financial statements remains intact, thereby fostering trust among domestic and international investors.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China Guangzhou</w:t>
      </w:r>
      <w:r>
        <w:t xml:space="preserve"> </w:t>
      </w:r>
      <w:r>
        <w:t xml:space="preserve">is at a pivotal juncture. As the city continues to integrate into global supply chains and lead technological innovation, the demand for high-quality, independent assurance has never been greater. Auditors must adapt by enhancing their technical skills in data analytics and forensic accounting while maintaining strict ethical standards. By doing so, they not only fulfill their regulatory obligations but also contribute to the long-term sustainability and transparency of Guangzhou’s vibrant economy. Future research should focus on the long-term impact of digital auditing tools on audit quality metrics in this specific geographic context.</w:t>
      </w:r>
    </w:p>
    <w:bookmarkEnd w:id="27"/>
    <w:bookmarkStart w:id="28" w:name="references"/>
    <w:p>
      <w:pPr>
        <w:pStyle w:val="Heading2"/>
      </w:pPr>
      <w:r>
        <w:t xml:space="preserve">References</w:t>
      </w:r>
    </w:p>
    <w:p>
      <w:pPr>
        <w:numPr>
          <w:ilvl w:val="0"/>
          <w:numId w:val="1001"/>
        </w:numPr>
        <w:pStyle w:val="Compact"/>
      </w:pPr>
      <w:r>
        <w:t xml:space="preserve">Zhang, L., &amp; Chen, W. (2023). "Regulatory Harmonization in Southern China: The Case of Guangzhou." *Journal of Asian Financial Regulation*, 14(2), 45-67.</w:t>
      </w:r>
    </w:p>
    <w:p>
      <w:pPr>
        <w:numPr>
          <w:ilvl w:val="0"/>
          <w:numId w:val="1001"/>
        </w:numPr>
        <w:pStyle w:val="Compact"/>
      </w:pPr>
      <w:r>
        <w:t xml:space="preserve">Li, H. (2024). "Digital Auditing Practices in Emerging Tech Hubs." *International Journal of Accounting Information Systems*, 31, 112-130.</w:t>
      </w:r>
    </w:p>
    <w:p>
      <w:pPr>
        <w:numPr>
          <w:ilvl w:val="0"/>
          <w:numId w:val="1001"/>
        </w:numPr>
        <w:pStyle w:val="Compact"/>
      </w:pPr>
      <w:r>
        <w:t xml:space="preserve">Government of Guangzhou. (2023). "White Paper on Financial Market Development and Compliance Standards." Guangzhou Municipal Bureau of Finance.</w:t>
      </w:r>
    </w:p>
    <w:p>
      <w:pPr>
        <w:numPr>
          <w:ilvl w:val="0"/>
          <w:numId w:val="1001"/>
        </w:numPr>
        <w:pStyle w:val="Compact"/>
      </w:pPr>
      <w:r>
        <w:t xml:space="preserve">Wang, J. (2022). "Forensic Accounting Challenges in Cross-Border E-Commerce." *China Business Review*, 19(4), 88-95.</w:t>
      </w:r>
    </w:p>
    <w:p>
      <w:pPr>
        <w:numPr>
          <w:ilvl w:val="0"/>
          <w:numId w:val="1001"/>
        </w:numPr>
        <w:pStyle w:val="Compact"/>
      </w:pPr>
      <w:r>
        <w:t xml:space="preserve">International Federation of Accountants (IFAC). (2023). "Global Outlook on Audit Quality in Asia-Pacific." New York: IFAC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China Guangzhou: Navigating Regulatory Complexity and Market Integrity</dc:title>
  <dc:creator/>
  <dc:language>en</dc:language>
  <cp:keywords/>
  <dcterms:created xsi:type="dcterms:W3CDTF">2026-07-29T12:54:33Z</dcterms:created>
  <dcterms:modified xsi:type="dcterms:W3CDTF">2026-07-29T12:54:33Z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