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Regulatory</w:t>
      </w:r>
      <w:r>
        <w:t xml:space="preserve"> </w:t>
      </w:r>
      <w:r>
        <w:t xml:space="preserve">Frameworks,</w:t>
      </w:r>
      <w:r>
        <w:t xml:space="preserve"> </w:t>
      </w:r>
      <w:r>
        <w:t xml:space="preserve">Challenges,</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Bogotá</w:t>
      </w:r>
    </w:p>
    <w:bookmarkStart w:id="32" w:name="X8b46edaf1851e6246a7eadcd52ea2f9e27da104"/>
    <w:p>
      <w:pPr>
        <w:pStyle w:val="Heading1"/>
      </w:pPr>
      <w:r>
        <w:t xml:space="preserve">The Evolving Role of the Auditor in Colombia: Regulatory Frameworks, Challenges, and Professional Standards in Bogotá</w:t>
      </w:r>
    </w:p>
    <w:p>
      <w:pPr>
        <w:pStyle w:val="FirstParagraph"/>
      </w:pPr>
      <w:r>
        <w:rPr>
          <w:bCs/>
          <w:b/>
        </w:rPr>
        <w:t xml:space="preserve">Juan Carlos Rodríguez-Vega</w:t>
      </w:r>
    </w:p>
    <w:p>
      <w:pPr>
        <w:pStyle w:val="BodyText"/>
      </w:pPr>
      <w:r>
        <w:t xml:space="preserve">School of Economics and Finance, Universidad de los Andes</w:t>
      </w:r>
      <w:r>
        <w:br/>
      </w:r>
      <w:r>
        <w:t xml:space="preserve">Bogotá D.C., Colombia</w:t>
      </w:r>
    </w:p>
    <w:bookmarkStart w:id="20" w:name="abstract"/>
    <w:p>
      <w:pPr>
        <w:pStyle w:val="Heading2"/>
      </w:pPr>
      <w:r>
        <w:t xml:space="preserve">Abstract</w:t>
      </w:r>
    </w:p>
    <w:p>
      <w:pPr>
        <w:pStyle w:val="FirstParagraph"/>
      </w:pPr>
      <w:r>
        <w:t xml:space="preserve">This article examines the critical role of the auditor within the Colombian economic landscape, with a specific focus on Bogotá as the central hub for financial regulation and corporate activity. As Colombia continues to integrate into global markets, the demand for high-quality auditing services has intensified. This paper analyzes the regulatory evolution overseen by entities such as Superintendencia de Sociedades and Colofinanzas, exploring how Auditors in Colombia Bogotá are adapting to international standards like IFRS (International Financial Reporting Standards) and ISA (International Standards on Auditing). Furthermore, it addresses the persistent challenges of technological disruption, ethical compliance, and the need for continuous professional development. The study concludes that while the regulatory framework is robust, the effectiveness of an Auditor in Colombia Bogotá depends heavily on proactive adaptation to digital transformation and strict adherence to ethical codes.</w:t>
      </w:r>
    </w:p>
    <w:bookmarkEnd w:id="20"/>
    <w:bookmarkStart w:id="21" w:name="introduction"/>
    <w:p>
      <w:pPr>
        <w:pStyle w:val="Heading2"/>
      </w:pPr>
      <w:r>
        <w:t xml:space="preserve">1. Introduction</w:t>
      </w:r>
    </w:p>
    <w:p>
      <w:pPr>
        <w:pStyle w:val="FirstParagraph"/>
      </w:pPr>
      <w:r>
        <w:t xml:space="preserve">The integrity of financial reporting is the bedrock upon which investor confidence and market stability rest. In emerging economies, this role is amplified by the need for transparency to attract foreign direct investment and maintain credit ratings. Colombia, as one of the most dynamic economies in Latin America, has made significant strides in strengthening its corporate governance frameworks. At the heart of this system lies the professional figure of the Auditor.</w:t>
      </w:r>
    </w:p>
    <w:p>
      <w:pPr>
        <w:pStyle w:val="BodyText"/>
      </w:pPr>
      <w:r>
        <w:t xml:space="preserve">Bogotá, as the capital and economic center of Colombia, serves not only as a geographic headquarters for multinational corporations but also as the operational nerve center for regulatory bodies such as Superintendencia de Sociedades and Colofinanzas. Consequently, an Auditor in Colombia Bogotá operates within a unique ecosystem characterized by high regulatory scrutiny and rapid technological change. This article aims to dissect the current state of auditing practice in this specific context, highlighting how Auditors are navigating the complexities of local legislation alongside international imperatives.</w:t>
      </w:r>
    </w:p>
    <w:bookmarkEnd w:id="21"/>
    <w:bookmarkStart w:id="24" w:name="X521db47e0a8c7c2323c44b162cc427d8191618a"/>
    <w:p>
      <w:pPr>
        <w:pStyle w:val="Heading2"/>
      </w:pPr>
      <w:r>
        <w:t xml:space="preserve">2. Regulatory Landscape and Institutional Framework</w:t>
      </w:r>
    </w:p>
    <w:p>
      <w:pPr>
        <w:pStyle w:val="FirstParagraph"/>
      </w:pPr>
      <w:r>
        <w:t xml:space="preserve">The profession of Auditor in Colombia is governed by a complex web of laws and decrees. Historically, Law 43 of 1990 served as the foundational statute defining the role, responsibilities, and ethical obligations of auditors. However, recent reforms have sought to align Colombian practices more closely with global best practices.</w:t>
      </w:r>
    </w:p>
    <w:bookmarkStart w:id="22" w:name="X93b316d5af704d0798212cbc45aa539cc02e536"/>
    <w:p>
      <w:pPr>
        <w:pStyle w:val="Heading3"/>
      </w:pPr>
      <w:r>
        <w:t xml:space="preserve">2.1 The Role of Superintendencia de Sociedades</w:t>
      </w:r>
    </w:p>
    <w:p>
      <w:pPr>
        <w:pStyle w:val="FirstParagraph"/>
      </w:pPr>
      <w:r>
        <w:t xml:space="preserve">In Bogotá, as in the rest of the country, the Superintendencia de Sociedades acts as the primary regulatory supervisor for accounting professionals. For an Auditor operating in Colombia Bogotá, compliance with technical circulars issued by this entity is not optional but mandatory. The Superintendent has recently intensified inspections regarding audit quality, particularly focusing on independence and competence. This regulatory pressure ensures that Auditors are not merely passive observers but active guarantors of financial truth.</w:t>
      </w:r>
    </w:p>
    <w:bookmarkEnd w:id="22"/>
    <w:bookmarkStart w:id="23" w:name="adoption-of-international-standards"/>
    <w:p>
      <w:pPr>
        <w:pStyle w:val="Heading3"/>
      </w:pPr>
      <w:r>
        <w:t xml:space="preserve">2.2 Adoption of International Standards</w:t>
      </w:r>
    </w:p>
    <w:p>
      <w:pPr>
        <w:pStyle w:val="FirstParagraph"/>
      </w:pPr>
      <w:r>
        <w:t xml:space="preserve">A critical development in the career of an Auditor in Colombia has been the mandatory adoption of International Financial Reporting Standards (IFRS) and International Standards on Auditing (ISA). For professionals based in Bogotá, this shift required a massive overhaul of educational curricula and professional training. The convergence with international standards implies that an Auditor in Colombia Bogotá must possess a dual competency: deep knowledge of local tax laws (such as those administered by the DIAN) and proficiency in global accounting narratives.</w:t>
      </w:r>
    </w:p>
    <w:bookmarkEnd w:id="23"/>
    <w:bookmarkEnd w:id="24"/>
    <w:bookmarkStart w:id="28" w:name="challenges-facing-auditors-in-bogotá"/>
    <w:p>
      <w:pPr>
        <w:pStyle w:val="Heading2"/>
      </w:pPr>
      <w:r>
        <w:t xml:space="preserve">3. Challenges Facing Auditors in Bogotá</w:t>
      </w:r>
    </w:p>
    <w:p>
      <w:pPr>
        <w:pStyle w:val="FirstParagraph"/>
      </w:pPr>
      <w:r>
        <w:t xml:space="preserve">Despite the robust regulatory framework, Auditors in Colombia face significant operational and ethical challenges. These issues are particularly acute in Bogotá due to the density of corporate entities and the speed of market dynamics.</w:t>
      </w:r>
    </w:p>
    <w:bookmarkStart w:id="25" w:name="Xabd0cbfd4503ca2eb6a18bbc98927a05161ff5b"/>
    <w:p>
      <w:pPr>
        <w:pStyle w:val="Heading3"/>
      </w:pPr>
      <w:r>
        <w:t xml:space="preserve">3.1 Technological Disruption and Digital Transformation</w:t>
      </w:r>
    </w:p>
    <w:p>
      <w:pPr>
        <w:pStyle w:val="FirstParagraph"/>
      </w:pPr>
      <w:r>
        <w:t xml:space="preserve">The traditional manual audit trail is rapidly becoming obsolete. Auditors in Colombia Bogotá are under pressure to integrate data analytics, artificial intelligence, and blockchain technologies into their workflows. Large firms in the capital have begun deploying automated testing scripts that can analyze 100% of transactions rather than relying on sampling methods. For the individual Auditor, this presents a challenge: the skill set is shifting from arithmetic verification to data interpretation and risk assessment. Failure to adapt risks professional obsolescence.</w:t>
      </w:r>
    </w:p>
    <w:bookmarkEnd w:id="25"/>
    <w:bookmarkStart w:id="26" w:name="X7ee5fe083380aa9be616454b51a1c51fd8c7039"/>
    <w:p>
      <w:pPr>
        <w:pStyle w:val="Heading3"/>
      </w:pPr>
      <w:r>
        <w:t xml:space="preserve">3.2 Ethical Integrity and Conflict of Interest</w:t>
      </w:r>
    </w:p>
    <w:p>
      <w:pPr>
        <w:pStyle w:val="FirstParagraph"/>
      </w:pPr>
      <w:r>
        <w:t xml:space="preserve">Ethics remains the cornerstone of the auditing profession. In a concentrated market like Bogotá, where personal relationships often intersect with business dealings, Auditors face constant pressure regarding independence. Colofinanzas and other professional associations emphasize that an Auditor in Colombia must maintain both actual independence and the appearance of independence. Scandals in neighboring countries have served as cautionary tales, reinforcing the need for strict internal controls within audit firms based in Bogotá.</w:t>
      </w:r>
    </w:p>
    <w:bookmarkEnd w:id="26"/>
    <w:bookmarkStart w:id="27" w:name="the-skills-gap"/>
    <w:p>
      <w:pPr>
        <w:pStyle w:val="Heading3"/>
      </w:pPr>
      <w:r>
        <w:t xml:space="preserve">3.3 The Skills Gap</w:t>
      </w:r>
    </w:p>
    <w:p>
      <w:pPr>
        <w:pStyle w:val="FirstParagraph"/>
      </w:pPr>
      <w:r>
        <w:t xml:space="preserve">There is a noted gap between academic preparation and industry expectations. While universities in Colombia offer strong theoretical foundations, many graduates lack practical experience with modern auditing software and soft skills such as communication with non-financial stakeholders. This necessitates continuous learning programs for Auditors, making professional development a year-round obligation rather than a periodic requirement.</w:t>
      </w:r>
    </w:p>
    <w:bookmarkEnd w:id="27"/>
    <w:bookmarkEnd w:id="28"/>
    <w:bookmarkStart w:id="29" w:name="X1672466604a875fd33f710785696612a56302d4"/>
    <w:p>
      <w:pPr>
        <w:pStyle w:val="Heading2"/>
      </w:pPr>
      <w:r>
        <w:t xml:space="preserve">4. Strategic Recommendations for Professional Excellence</w:t>
      </w:r>
    </w:p>
    <w:p>
      <w:pPr>
        <w:pStyle w:val="FirstParagraph"/>
      </w:pPr>
      <w:r>
        <w:t xml:space="preserve">To enhance the efficacy of an Auditor in Colombia Bogotá, several strategic recommendations are proposed:</w:t>
      </w:r>
    </w:p>
    <w:p>
      <w:pPr>
        <w:numPr>
          <w:ilvl w:val="0"/>
          <w:numId w:val="1001"/>
        </w:numPr>
        <w:pStyle w:val="Compact"/>
      </w:pPr>
      <w:r>
        <w:rPr>
          <w:bCs/>
          <w:b/>
        </w:rPr>
        <w:t xml:space="preserve">Lifelong Learning:</w:t>
      </w:r>
      <w:r>
        <w:t xml:space="preserve"> </w:t>
      </w:r>
      <w:r>
        <w:t xml:space="preserve">Auditors must engage in continuous education regarding changes in ISA and local decrees. Specialization in sectors like fintech, renewable energy, or agriculture is increasingly valuable.</w:t>
      </w:r>
    </w:p>
    <w:p>
      <w:pPr>
        <w:numPr>
          <w:ilvl w:val="0"/>
          <w:numId w:val="1001"/>
        </w:numPr>
        <w:pStyle w:val="Compact"/>
      </w:pPr>
      <w:r>
        <w:rPr>
          <w:bCs/>
          <w:b/>
        </w:rPr>
        <w:t xml:space="preserve">Digital Proficiency:</w:t>
      </w:r>
      <w:r>
        <w:t xml:space="preserve"> </w:t>
      </w:r>
      <w:r>
        <w:t xml:space="preserve">Investment in training for data analytics tools (such as ACL, IDEA, or Python for audit purposes) is essential. An Auditor who cannot leverage data will be limited to descriptive rather than predictive auditing.</w:t>
      </w:r>
    </w:p>
    <w:p>
      <w:pPr>
        <w:numPr>
          <w:ilvl w:val="0"/>
          <w:numId w:val="1001"/>
        </w:numPr>
        <w:pStyle w:val="Compact"/>
      </w:pPr>
      <w:r>
        <w:rPr>
          <w:bCs/>
          <w:b/>
        </w:rPr>
        <w:t xml:space="preserve">Ethical Fortification:</w:t>
      </w:r>
      <w:r>
        <w:t xml:space="preserve"> </w:t>
      </w:r>
      <w:r>
        <w:t xml:space="preserve">Firms should implement rigorous ethical walls and rotation policies to mitigate self-interest threats. Professional bodies in Bogotá must continue to enforce sanctions against non-compliance strictly.</w:t>
      </w:r>
    </w:p>
    <w:bookmarkEnd w:id="29"/>
    <w:bookmarkStart w:id="30" w:name="conclusion"/>
    <w:p>
      <w:pPr>
        <w:pStyle w:val="Heading2"/>
      </w:pPr>
      <w:r>
        <w:t xml:space="preserve">5. Conclusion</w:t>
      </w:r>
    </w:p>
    <w:p>
      <w:pPr>
        <w:pStyle w:val="FirstParagraph"/>
      </w:pPr>
      <w:r>
        <w:t xml:space="preserve">The role of the Auditor is undergoing a profound transformation in Colombia. As the economic capital, Bogotá stands at the forefront of this change. The modern Auditor is no longer just a checker of numbers but a strategic advisor and a guardian of market integrity. For an Auditor in Colombia Bogotá to succeed, they must harmonize strict adherence to local regulatory demands with the agility required by global standards and technological advancements.</w:t>
      </w:r>
    </w:p>
    <w:p>
      <w:pPr>
        <w:pStyle w:val="BodyText"/>
      </w:pPr>
      <w:r>
        <w:t xml:space="preserve">The future belongs to Auditors who can bridge the gap between traditional compliance and modern innovation. By embracing digital tools, upholding unwavering ethical standards, and continuously upgrading their technical knowledge, Auditors will continue to play a pivotal role in sustaining Colombia’s economic stability. The journey for an Auditor in Colombia is one of constant evolution, driven by the imperative to provide reliable assurance in an increasingly complex financial world.</w:t>
      </w:r>
    </w:p>
    <w:bookmarkEnd w:id="30"/>
    <w:bookmarkStart w:id="31" w:name="references"/>
    <w:p>
      <w:pPr>
        <w:pStyle w:val="Heading2"/>
      </w:pPr>
      <w:r>
        <w:t xml:space="preserve">References</w:t>
      </w:r>
    </w:p>
    <w:p>
      <w:pPr>
        <w:numPr>
          <w:ilvl w:val="0"/>
          <w:numId w:val="1002"/>
        </w:numPr>
        <w:pStyle w:val="Compact"/>
      </w:pPr>
      <w:r>
        <w:t xml:space="preserve">Banco de la República. (2023). *Informe sobre la Estabilidad Financiera*. Bogotá, Colombia.</w:t>
      </w:r>
    </w:p>
    <w:p>
      <w:pPr>
        <w:numPr>
          <w:ilvl w:val="0"/>
          <w:numId w:val="1002"/>
        </w:numPr>
        <w:pStyle w:val="Compact"/>
      </w:pPr>
      <w:r>
        <w:t xml:space="preserve">Cámara Colombiana de Financiación y Fomento Industrial - Colofinanzas. (2022). *Norma Técnica para el Ejercicio Profesional del Auditor*. Bogotá.</w:t>
      </w:r>
    </w:p>
    <w:p>
      <w:pPr>
        <w:numPr>
          <w:ilvl w:val="0"/>
          <w:numId w:val="1002"/>
        </w:numPr>
        <w:pStyle w:val="Compact"/>
      </w:pPr>
      <w:r>
        <w:t xml:space="preserve">Government of Colombia. (1990). *Ley 43 de 1990 por la cual se regulan los requisitos y condiciones que deben reunir las personas naturales y jurídicas que realicen actividades propias de la profesión de Contador Público*. Diario Oficial.</w:t>
      </w:r>
    </w:p>
    <w:p>
      <w:pPr>
        <w:numPr>
          <w:ilvl w:val="0"/>
          <w:numId w:val="1002"/>
        </w:numPr>
        <w:pStyle w:val="Compact"/>
      </w:pPr>
      <w:r>
        <w:t xml:space="preserve">International Federation of Accountants (IFAC). (2023). *Global Audit Trends and Insights for Emerging Markets*. New York.</w:t>
      </w:r>
    </w:p>
    <w:p>
      <w:pPr>
        <w:numPr>
          <w:ilvl w:val="0"/>
          <w:numId w:val="1002"/>
        </w:numPr>
        <w:pStyle w:val="Compact"/>
      </w:pPr>
      <w:r>
        <w:t xml:space="preserve">Superintendencia de Sociedades. (2023). *Circular Única Antecedida y sus actualizaciones regulatorias*. Bogotá,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Colombia: Regulatory Frameworks, Challenges, and Professional Standards in Bogotá</dc:title>
  <dc:creator/>
  <dc:language>en</dc:language>
  <cp:keywords/>
  <dcterms:created xsi:type="dcterms:W3CDTF">2026-07-29T14:23:20Z</dcterms:created>
  <dcterms:modified xsi:type="dcterms:W3CDTF">2026-07-29T14:23:20Z</dcterms:modified>
</cp:coreProperties>
</file>

<file path=docProps/custom.xml><?xml version="1.0" encoding="utf-8"?>
<Properties xmlns="http://schemas.openxmlformats.org/officeDocument/2006/custom-properties" xmlns:vt="http://schemas.openxmlformats.org/officeDocument/2006/docPropsVTypes"/>
</file>