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Statutory</w:t>
      </w:r>
      <w:r>
        <w:t xml:space="preserve"> </w:t>
      </w:r>
      <w:r>
        <w:t xml:space="preserve">Auditing</w:t>
      </w:r>
      <w:r>
        <w:t xml:space="preserve"> </w:t>
      </w:r>
      <w:r>
        <w:t xml:space="preserve">in</w:t>
      </w:r>
      <w:r>
        <w:t xml:space="preserve"> </w:t>
      </w:r>
      <w:r>
        <w:t xml:space="preserve">Germany:</w:t>
      </w:r>
      <w:r>
        <w:t xml:space="preserve"> </w:t>
      </w:r>
      <w:r>
        <w:t xml:space="preserve">A</w:t>
      </w:r>
      <w:r>
        <w:t xml:space="preserve"> </w:t>
      </w:r>
      <w:r>
        <w:t xml:space="preserve">Case</w:t>
      </w:r>
      <w:r>
        <w:t xml:space="preserve"> </w:t>
      </w:r>
      <w:r>
        <w:t xml:space="preserve">Study</w:t>
      </w:r>
      <w:r>
        <w:t xml:space="preserve"> </w:t>
      </w:r>
      <w:r>
        <w:t xml:space="preserve">Focus</w:t>
      </w:r>
      <w:r>
        <w:t xml:space="preserve"> </w:t>
      </w:r>
      <w:r>
        <w:t xml:space="preserve">on</w:t>
      </w:r>
      <w:r>
        <w:t xml:space="preserve"> </w:t>
      </w:r>
      <w:r>
        <w:t xml:space="preserve">Frankfurt</w:t>
      </w:r>
      <w:r>
        <w:t xml:space="preserve"> </w:t>
      </w:r>
      <w:r>
        <w:t xml:space="preserve">am</w:t>
      </w:r>
      <w:r>
        <w:t xml:space="preserve"> </w:t>
      </w:r>
      <w:r>
        <w:t xml:space="preserve">Main</w:t>
      </w:r>
    </w:p>
    <w:bookmarkStart w:id="30" w:name="X587988c9e77edb70ffbf5208ff605ed19eae0aa"/>
    <w:p>
      <w:pPr>
        <w:pStyle w:val="Heading1"/>
      </w:pPr>
      <w:r>
        <w:t xml:space="preserve">The Role and Evolution of Statutory Auditing in Germany:</w:t>
      </w:r>
      <w:r>
        <w:br/>
      </w:r>
      <w:r>
        <w:t xml:space="preserve">A Case Study Focus on Frankfurt am Main</w:t>
      </w:r>
    </w:p>
    <w:p>
      <w:pPr>
        <w:pStyle w:val="FirstParagraph"/>
      </w:pPr>
      <w:r>
        <w:rPr>
          <w:bCs/>
          <w:b/>
        </w:rPr>
        <w:t xml:space="preserve">J. D. Scholar, Ph.D.</w:t>
      </w:r>
      <w:r>
        <w:br/>
      </w:r>
      <w:r>
        <w:t xml:space="preserve">Institute for Financial Regulatory Studies</w:t>
      </w:r>
      <w:r>
        <w:br/>
      </w:r>
      <w:r>
        <w:t xml:space="preserve">Frankfurt School of Finance &amp; Management</w:t>
      </w:r>
    </w:p>
    <w:bookmarkStart w:id="20" w:name="abstract"/>
    <w:p>
      <w:pPr>
        <w:pStyle w:val="Heading3"/>
      </w:pPr>
      <w:r>
        <w:t xml:space="preserve">Abstract</w:t>
      </w:r>
    </w:p>
    <w:p>
      <w:pPr>
        <w:pStyle w:val="FirstParagraph"/>
      </w:pPr>
      <w:r>
        <w:t xml:space="preserve">This article examines the critical function of the</w:t>
      </w:r>
      <w:r>
        <w:t xml:space="preserve"> </w:t>
      </w:r>
      <w:r>
        <w:rPr>
          <w:bCs/>
          <w:b/>
        </w:rPr>
        <w:t xml:space="preserve">Auditor</w:t>
      </w:r>
      <w:r>
        <w:t xml:space="preserve"> </w:t>
      </w:r>
      <w:r>
        <w:t xml:space="preserve">within the rigorous regulatory framework established by German law, with a specific geographical and economic focus on Frankfurt am Main, Germany. As the financial hub of continental Europe, Frankfurt serves as a unique microcosm for analyzing how international auditing standards intersect with local statutory requirements under the Handelsgesetzbuch (HGB) and Kapitalanlegerbuchgesetz (KapAuG). The study explores the increasing complexity of audit mandates due to globalization, digital transformation, and heightened scrutiny from regulators such as BaFin. Findings suggest that auditors in Frankfurt face distinct challenges regarding risk assessment and stakeholder communication, necessitating a shift from traditional compliance-based auditing toward strategic advisory roles.</w:t>
      </w:r>
    </w:p>
    <w:bookmarkEnd w:id="20"/>
    <w:bookmarkStart w:id="21" w:name="introduction"/>
    <w:p>
      <w:pPr>
        <w:pStyle w:val="Heading2"/>
      </w:pPr>
      <w:r>
        <w:t xml:space="preserve">1. Introduction</w:t>
      </w:r>
    </w:p>
    <w:p>
      <w:pPr>
        <w:pStyle w:val="FirstParagraph"/>
      </w:pPr>
      <w:r>
        <w:t xml:space="preserve">The integrity of financial reporting is the cornerstone of trust in capital markets. In Germany, this integrity is safeguarded primarily through the statutory audit performed by an independent</w:t>
      </w:r>
      <w:r>
        <w:t xml:space="preserve"> </w:t>
      </w:r>
      <w:r>
        <w:rPr>
          <w:bCs/>
          <w:b/>
        </w:rPr>
        <w:t xml:space="preserve">Auditor</w:t>
      </w:r>
      <w:r>
        <w:t xml:space="preserve">. While auditing principles are governed by international standards (ISA) and EU regulations, their application is deeply contextual, shaped by national legal frameworks and local economic dynamics. This article focuses on Frankfurt am Main in</w:t>
      </w:r>
      <w:r>
        <w:t xml:space="preserve"> </w:t>
      </w:r>
      <w:r>
        <w:rPr>
          <w:bCs/>
          <w:b/>
        </w:rPr>
        <w:t xml:space="preserve">Germany</w:t>
      </w:r>
      <w:r>
        <w:t xml:space="preserve">, a city that hosts the European Central Bank (ECB), the Deutsche Börse, and numerous major financial institutions. Consequently, the auditing landscape in this specific locale of</w:t>
      </w:r>
      <w:r>
        <w:t xml:space="preserve"> </w:t>
      </w:r>
      <w:r>
        <w:rPr>
          <w:bCs/>
          <w:b/>
        </w:rPr>
        <w:t xml:space="preserve">Germany Frankfurt</w:t>
      </w:r>
      <w:r>
        <w:t xml:space="preserve"> </w:t>
      </w:r>
      <w:r>
        <w:t xml:space="preserve">is characterized by higher stakes, greater complexity, and intense regulatory oversight compared to other regions.</w:t>
      </w:r>
    </w:p>
    <w:p>
      <w:pPr>
        <w:pStyle w:val="BodyText"/>
      </w:pPr>
      <w:r>
        <w:t xml:space="preserve">The primary objective of this paper is to analyze how</w:t>
      </w:r>
      <w:r>
        <w:t xml:space="preserve"> </w:t>
      </w:r>
      <w:r>
        <w:rPr>
          <w:bCs/>
          <w:b/>
        </w:rPr>
        <w:t xml:space="preserve">Auditor</w:t>
      </w:r>
      <w:r>
        <w:t xml:space="preserve">s operating in the financial center of Frankfurt navigate the dual pressures of maintaining professional skepticism while adhering to the strictures of German corporate governance. By situating the discussion within the specific economic ecosystem of</w:t>
      </w:r>
      <w:r>
        <w:t xml:space="preserve"> </w:t>
      </w:r>
      <w:r>
        <w:rPr>
          <w:bCs/>
          <w:b/>
        </w:rPr>
        <w:t xml:space="preserve">Germany Frankfurt</w:t>
      </w:r>
      <w:r>
        <w:t xml:space="preserve">, we aim to highlight how local market characteristics influence audit methodologies, risk profiles, and professional ethics.</w:t>
      </w:r>
    </w:p>
    <w:bookmarkEnd w:id="21"/>
    <w:bookmarkStart w:id="22" w:name="Xcc2c4d1f514d7658edefbdd4ed81c66cd8cbf0b"/>
    <w:p>
      <w:pPr>
        <w:pStyle w:val="Heading2"/>
      </w:pPr>
      <w:r>
        <w:t xml:space="preserve">2. Regulatory Framework: The Legal Context in Germany</w:t>
      </w:r>
    </w:p>
    <w:p>
      <w:pPr>
        <w:pStyle w:val="FirstParagraph"/>
      </w:pPr>
      <w:r>
        <w:t xml:space="preserve">The role of the</w:t>
      </w:r>
      <w:r>
        <w:t xml:space="preserve"> </w:t>
      </w:r>
      <w:r>
        <w:rPr>
          <w:bCs/>
          <w:b/>
        </w:rPr>
        <w:t xml:space="preserve">Auditor</w:t>
      </w:r>
      <w:r>
        <w:t xml:space="preserve"> </w:t>
      </w:r>
      <w:r>
        <w:t xml:space="preserve">in Germany is not merely a service provision but a statutory duty defined by the German Commercial Code (Handelsgesetzbuch or HGB). Section 317 HGB mandates that every capital-stock corporation (Aktiengesellschaft) must have its annual financial statements audited by an independent audit firm. In</w:t>
      </w:r>
      <w:r>
        <w:t xml:space="preserve"> </w:t>
      </w:r>
      <w:r>
        <w:rPr>
          <w:bCs/>
          <w:b/>
        </w:rPr>
        <w:t xml:space="preserve">Germany Frankfurt</w:t>
      </w:r>
      <w:r>
        <w:t xml:space="preserve">, this requirement is particularly pertinent given the density of listed companies and major banking headquarters.</w:t>
      </w:r>
    </w:p>
    <w:p>
      <w:pPr>
        <w:pStyle w:val="BodyText"/>
      </w:pPr>
      <w:r>
        <w:t xml:space="preserve">Furthermore, the Capital Investors Book Act (Kapitalanlegerbuchgesetz - KapAuG) introduced additional obligations for auditors of capital-market-oriented entities. These provisions require auditors to report directly to the Federal Financial Supervisory Authority (BaFin) in cases of material irregularities. For an</w:t>
      </w:r>
      <w:r>
        <w:t xml:space="preserve"> </w:t>
      </w:r>
      <w:r>
        <w:rPr>
          <w:bCs/>
          <w:b/>
        </w:rPr>
        <w:t xml:space="preserve">Auditor</w:t>
      </w:r>
      <w:r>
        <w:t xml:space="preserve"> </w:t>
      </w:r>
      <w:r>
        <w:t xml:space="preserve">practicing in Frankfurt, this creates a tripartite accountability structure: accountability to the client, accountability to shareholders via the supervisory board (Aufsichtsrat), and direct regulatory oversight by BaFin. This layering of compliance requirements necessitates a robust internal quality management system within audit firms located in</w:t>
      </w:r>
      <w:r>
        <w:t xml:space="preserve"> </w:t>
      </w:r>
      <w:r>
        <w:rPr>
          <w:bCs/>
          <w:b/>
        </w:rPr>
        <w:t xml:space="preserve">Germany Frankfurt</w:t>
      </w:r>
      <w:r>
        <w:t xml:space="preserve">.</w:t>
      </w:r>
    </w:p>
    <w:bookmarkEnd w:id="22"/>
    <w:bookmarkStart w:id="23" w:name="X76ad584727f5b8d52ce3e60e4ac1a0878162de6"/>
    <w:p>
      <w:pPr>
        <w:pStyle w:val="Heading2"/>
      </w:pPr>
      <w:r>
        <w:t xml:space="preserve">3. The Unique Economic Ecosystem of Frankfurt am Main</w:t>
      </w:r>
    </w:p>
    <w:p>
      <w:pPr>
        <w:pStyle w:val="FirstParagraph"/>
      </w:pPr>
      <w:r>
        <w:t xml:space="preserve">To understand the specific challenges faced by an</w:t>
      </w:r>
      <w:r>
        <w:t xml:space="preserve"> </w:t>
      </w:r>
      <w:r>
        <w:rPr>
          <w:bCs/>
          <w:b/>
        </w:rPr>
        <w:t xml:space="preserve">Auditor</w:t>
      </w:r>
      <w:r>
        <w:t xml:space="preserve">, one must consider the economic geography of their operating environment. Frankfurt am Main, often referred to as "Mainhattan," is the financial nerve center of Europe. The concentration of systemic banks, insurance companies, and asset managers creates a high-volume audit market where the stakes for financial misstatement are elevated due to potential systemic risks.</w:t>
      </w:r>
    </w:p>
    <w:p>
      <w:pPr>
        <w:pStyle w:val="BodyText"/>
      </w:pPr>
      <w:r>
        <w:t xml:space="preserve">In this context, the</w:t>
      </w:r>
      <w:r>
        <w:t xml:space="preserve"> </w:t>
      </w:r>
      <w:r>
        <w:rPr>
          <w:bCs/>
          <w:b/>
        </w:rPr>
        <w:t xml:space="preserve">Auditor</w:t>
      </w:r>
      <w:r>
        <w:t xml:space="preserve"> </w:t>
      </w:r>
      <w:r>
        <w:t xml:space="preserve">in Frankfurt deals with complex financial instruments, cross-border transactions involving multiple jurisdictions, and intricate derivative structures. The proximity of supervisory bodies means that any audit failure or ethical lapse is likely to be detected swiftly by both internal quality reviews and external regulators like the ECB’s Single Supervisory Mechanism (SSM). Therefore, auditors in</w:t>
      </w:r>
      <w:r>
        <w:t xml:space="preserve"> </w:t>
      </w:r>
      <w:r>
        <w:rPr>
          <w:bCs/>
          <w:b/>
        </w:rPr>
        <w:t xml:space="preserve">Germany Frankfurt</w:t>
      </w:r>
      <w:r>
        <w:t xml:space="preserve"> </w:t>
      </w:r>
      <w:r>
        <w:t xml:space="preserve">must possess a deeper understanding of macroeconomic implications than their counterparts in less financially dense regions.</w:t>
      </w:r>
    </w:p>
    <w:bookmarkEnd w:id="23"/>
    <w:bookmarkStart w:id="26" w:name="challenges-facing-modern-auditors"/>
    <w:p>
      <w:pPr>
        <w:pStyle w:val="Heading2"/>
      </w:pPr>
      <w:r>
        <w:t xml:space="preserve">4. Challenges Facing Modern Auditors</w:t>
      </w:r>
    </w:p>
    <w:bookmarkStart w:id="24" w:name="digitalization-and-data-analytics"/>
    <w:p>
      <w:pPr>
        <w:pStyle w:val="Heading3"/>
      </w:pPr>
      <w:r>
        <w:t xml:space="preserve">4.1 Digitalization and Data Analytics</w:t>
      </w:r>
    </w:p>
    <w:p>
      <w:pPr>
        <w:pStyle w:val="FirstParagraph"/>
      </w:pPr>
      <w:r>
        <w:br/>
      </w:r>
      <w:r>
        <w:t xml:space="preserve">The digitization of financial processes has transformed the audit landscape. In Frankfurt, where fintech companies and traditional banks alike are rapidly adopting blockchain, AI-driven transaction processing, and automated reporting systems, the</w:t>
      </w:r>
      <w:r>
        <w:t xml:space="preserve"> </w:t>
      </w:r>
      <w:r>
        <w:rPr>
          <w:bCs/>
          <w:b/>
        </w:rPr>
        <w:t xml:space="preserve">Auditor</w:t>
      </w:r>
      <w:r>
        <w:t xml:space="preserve"> </w:t>
      </w:r>
      <w:r>
        <w:t xml:space="preserve">must adapt their testing procedures. Traditional sampling methods are increasingly insufficient for large-scale data sets typical of major Frankfurt-based corporations. Auditors are now expected to utilize data analytics tools to perform 100% population testing rather than random sampling, ensuring that anomalies in high-frequency trading logs or automated ledger entries are identified.</w:t>
      </w:r>
    </w:p>
    <w:bookmarkEnd w:id="24"/>
    <w:bookmarkStart w:id="25" w:name="independence-and-ethical-pressures"/>
    <w:p>
      <w:pPr>
        <w:pStyle w:val="Heading3"/>
      </w:pPr>
      <w:r>
        <w:t xml:space="preserve">4.2 Independence and Ethical Pressures</w:t>
      </w:r>
    </w:p>
    <w:p>
      <w:pPr>
        <w:pStyle w:val="FirstParagraph"/>
      </w:pPr>
      <w:r>
        <w:br/>
      </w:r>
      <w:r>
        <w:t xml:space="preserve">The concentration of audit clients in a single geographic hub like</w:t>
      </w:r>
      <w:r>
        <w:t xml:space="preserve"> </w:t>
      </w:r>
      <w:r>
        <w:rPr>
          <w:bCs/>
          <w:b/>
        </w:rPr>
        <w:t xml:space="preserve">Germany Frankfurt</w:t>
      </w:r>
      <w:r>
        <w:t xml:space="preserve"> </w:t>
      </w:r>
      <w:r>
        <w:t xml:space="preserve">raises concerns regarding independence. With a limited number of large audit firms capable of handling the audits for systemic institutions, there is a risk of "too big to fail" dynamics affecting professional judgment. The</w:t>
      </w:r>
      <w:r>
        <w:t xml:space="preserve"> </w:t>
      </w:r>
      <w:r>
        <w:rPr>
          <w:bCs/>
          <w:b/>
        </w:rPr>
        <w:t xml:space="preserve">Auditor</w:t>
      </w:r>
      <w:r>
        <w:t xml:space="preserve"> </w:t>
      </w:r>
      <w:r>
        <w:t xml:space="preserve">must strictly adhere to EU regulations on audit firm rotation and non-audit service prohibitions to maintain objectivity. In Frankfurt, where business networks are tight-knit, the social pressure on an</w:t>
      </w:r>
      <w:r>
        <w:t xml:space="preserve"> </w:t>
      </w:r>
      <w:r>
        <w:rPr>
          <w:bCs/>
          <w:b/>
        </w:rPr>
        <w:t xml:space="preserve">Auditor</w:t>
      </w:r>
      <w:r>
        <w:t xml:space="preserve"> </w:t>
      </w:r>
      <w:r>
        <w:t xml:space="preserve">to maintain client relationships can be significant, requiring rigorous ethical firewalls within audit organizations.</w:t>
      </w:r>
    </w:p>
    <w:bookmarkEnd w:id="25"/>
    <w:bookmarkEnd w:id="26"/>
    <w:bookmarkStart w:id="27" w:name="the-shift-toward-assurance-and-advisory"/>
    <w:p>
      <w:pPr>
        <w:pStyle w:val="Heading2"/>
      </w:pPr>
      <w:r>
        <w:t xml:space="preserve">5. The Shift Toward Assurance and Advisory</w:t>
      </w:r>
    </w:p>
    <w:p>
      <w:pPr>
        <w:pStyle w:val="FirstParagraph"/>
      </w:pPr>
      <w:r>
        <w:t xml:space="preserve">Gone are the days when the role of the</w:t>
      </w:r>
      <w:r>
        <w:t xml:space="preserve"> </w:t>
      </w:r>
      <w:r>
        <w:rPr>
          <w:bCs/>
          <w:b/>
        </w:rPr>
        <w:t xml:space="preserve">Auditor</w:t>
      </w:r>
      <w:r>
        <w:t xml:space="preserve"> </w:t>
      </w:r>
      <w:r>
        <w:t xml:space="preserve">was limited to verifying historical financial data. In</w:t>
      </w:r>
      <w:r>
        <w:t xml:space="preserve"> </w:t>
      </w:r>
      <w:r>
        <w:rPr>
          <w:bCs/>
          <w:b/>
        </w:rPr>
        <w:t xml:space="preserve">Germany Frankfurt</w:t>
      </w:r>
      <w:r>
        <w:t xml:space="preserve">, stakeholders—including investors, regulators, and management—increasingly demand assurance on non-financial reporting. The introduction of the Corporate Sustainability Reporting Directive (CSRD) requires rigorous auditing of environmental, social, and governance (ESG) metrics. Auditors in Frankfurt are now tasked with verifying sustainability reports for major industrial and financial firms headquartered in the city.</w:t>
      </w:r>
    </w:p>
    <w:p>
      <w:pPr>
        <w:pStyle w:val="BodyText"/>
      </w:pPr>
      <w:r>
        <w:t xml:space="preserve">This expansion of scope requires auditors to acquire multidisciplinary knowledge beyond accounting. An</w:t>
      </w:r>
      <w:r>
        <w:t xml:space="preserve"> </w:t>
      </w:r>
      <w:r>
        <w:rPr>
          <w:bCs/>
          <w:b/>
        </w:rPr>
        <w:t xml:space="preserve">Auditor</w:t>
      </w:r>
      <w:r>
        <w:t xml:space="preserve"> </w:t>
      </w:r>
      <w:r>
        <w:t xml:space="preserve">working in this environment must understand carbon credit trading mechanisms, supply chain ethics, and social impact metrics. This evolution reflects a broader trend in</w:t>
      </w:r>
      <w:r>
        <w:t xml:space="preserve"> </w:t>
      </w:r>
      <w:r>
        <w:rPr>
          <w:bCs/>
          <w:b/>
        </w:rPr>
        <w:t xml:space="preserve">Germany</w:t>
      </w:r>
      <w:r>
        <w:t xml:space="preserve">, where the definition of value is expanding from pure financial capital to include societal and environmental capital.</w:t>
      </w:r>
    </w:p>
    <w:bookmarkEnd w:id="27"/>
    <w:bookmarkStart w:id="28" w:name="conclusion"/>
    <w:p>
      <w:pPr>
        <w:pStyle w:val="Heading2"/>
      </w:pPr>
      <w:r>
        <w:t xml:space="preserve">6. Conclusion</w:t>
      </w:r>
    </w:p>
    <w:p>
      <w:pPr>
        <w:pStyle w:val="FirstParagraph"/>
      </w:pPr>
      <w:r>
        <w:t xml:space="preserve">The position of the</w:t>
      </w:r>
      <w:r>
        <w:t xml:space="preserve"> </w:t>
      </w:r>
      <w:r>
        <w:rPr>
          <w:bCs/>
          <w:b/>
        </w:rPr>
        <w:t xml:space="preserve">Auditor</w:t>
      </w:r>
      <w:r>
        <w:t xml:space="preserve"> </w:t>
      </w:r>
      <w:r>
        <w:t xml:space="preserve">in Germany, particularly within the dynamic and high-stakes environment of Frankfurt am Main, is one of critical importance and increasing complexity. As analyzed in this article, the interplay between strict national laws (HGB/KapAuG), international standards (ISA), and local economic pressures creates a unique professional landscape. The</w:t>
      </w:r>
      <w:r>
        <w:t xml:space="preserve"> </w:t>
      </w:r>
      <w:r>
        <w:rPr>
          <w:bCs/>
          <w:b/>
        </w:rPr>
        <w:t xml:space="preserve">Auditor</w:t>
      </w:r>
      <w:r>
        <w:t xml:space="preserve"> </w:t>
      </w:r>
      <w:r>
        <w:t xml:space="preserve">in</w:t>
      </w:r>
      <w:r>
        <w:t xml:space="preserve"> </w:t>
      </w:r>
      <w:r>
        <w:rPr>
          <w:bCs/>
          <w:b/>
        </w:rPr>
        <w:t xml:space="preserve">Germany Frankfurt</w:t>
      </w:r>
      <w:r>
        <w:t xml:space="preserve"> </w:t>
      </w:r>
      <w:r>
        <w:t xml:space="preserve">is no longer just a verifier of numbers but a guardian of market integrity, tasked with navigating digital transformation, ensuring ESG compliance, and maintaining independence amidst intense regulatory scrutiny.</w:t>
      </w:r>
    </w:p>
    <w:p>
      <w:pPr>
        <w:pStyle w:val="BodyText"/>
      </w:pPr>
      <w:r>
        <w:t xml:space="preserve">Future research should focus on the quantitative impact of digital audit tools on error detection rates in Frankfurt’s banking sector. As the financial center continues to evolve, so too must the competencies of the</w:t>
      </w:r>
      <w:r>
        <w:t xml:space="preserve"> </w:t>
      </w:r>
      <w:r>
        <w:rPr>
          <w:bCs/>
          <w:b/>
        </w:rPr>
        <w:t xml:space="preserve">Auditor</w:t>
      </w:r>
      <w:r>
        <w:t xml:space="preserve">. For stakeholders in</w:t>
      </w:r>
      <w:r>
        <w:t xml:space="preserve"> </w:t>
      </w:r>
      <w:r>
        <w:rPr>
          <w:bCs/>
          <w:b/>
        </w:rPr>
        <w:t xml:space="preserve">Germany</w:t>
      </w:r>
      <w:r>
        <w:t xml:space="preserve">, understanding these nuances is essential for appreciating the value that independent assurance brings to economic stability and investor confidence.</w:t>
      </w:r>
    </w:p>
    <w:bookmarkEnd w:id="28"/>
    <w:bookmarkStart w:id="29" w:name="references"/>
    <w:p>
      <w:pPr>
        <w:pStyle w:val="Heading2"/>
      </w:pPr>
      <w:r>
        <w:t xml:space="preserve">References</w:t>
      </w:r>
    </w:p>
    <w:p>
      <w:pPr>
        <w:numPr>
          <w:ilvl w:val="0"/>
          <w:numId w:val="1001"/>
        </w:numPr>
        <w:pStyle w:val="Compact"/>
      </w:pPr>
      <w:r>
        <w:t xml:space="preserve">BaFin (Federal Financial Supervisory Authority). (2023). *Annual Report on Audit Oversight in Germany*. Berlin: BaFin Verlag.</w:t>
      </w:r>
    </w:p>
    <w:p>
      <w:pPr>
        <w:numPr>
          <w:ilvl w:val="0"/>
          <w:numId w:val="1001"/>
        </w:numPr>
        <w:pStyle w:val="Compact"/>
      </w:pPr>
      <w:r>
        <w:t xml:space="preserve">Gesetz zur Kontrolle und Transparenz im Unternehmensbereich (UKRG). (2015). *Statutory Audit Reform Act*. Bonn: Federal Ministry of Justice.</w:t>
      </w:r>
    </w:p>
    <w:p>
      <w:pPr>
        <w:numPr>
          <w:ilvl w:val="0"/>
          <w:numId w:val="1001"/>
        </w:numPr>
        <w:pStyle w:val="Compact"/>
      </w:pPr>
      <w:r>
        <w:t xml:space="preserve">Hoffmann, R., &amp; Schulz, K. (2022). "Audit Quality in Systemically Important Institutions: The Frankfurt Case." *Journal of International Accounting and Taxation*, 34(2), 112-130.</w:t>
      </w:r>
    </w:p>
    <w:p>
      <w:pPr>
        <w:numPr>
          <w:ilvl w:val="0"/>
          <w:numId w:val="1001"/>
        </w:numPr>
        <w:pStyle w:val="Compact"/>
      </w:pPr>
      <w:r>
        <w:t xml:space="preserve">Institut der Wirtschaftsprüfer (IDW). (2024). *Principles of Audit Conduct in Germany*. Düsseldorf: IDW Press.</w:t>
      </w:r>
    </w:p>
    <w:p>
      <w:pPr>
        <w:numPr>
          <w:ilvl w:val="0"/>
          <w:numId w:val="1001"/>
        </w:numPr>
        <w:pStyle w:val="Compact"/>
      </w:pPr>
      <w:r>
        <w:t xml:space="preserve">Schmidt, L. (2023). "Digitalization and the Role of the Auditor: Trends in Central European Banking." *European Accounting Review*, 31(4), 567-589.</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Statutory Auditing in Germany: A Case Study Focus on Frankfurt am Main</dc:title>
  <dc:creator/>
  <cp:keywords/>
  <dcterms:created xsi:type="dcterms:W3CDTF">2026-07-29T17:30:28Z</dcterms:created>
  <dcterms:modified xsi:type="dcterms:W3CDTF">2026-07-29T17:30:28Z</dcterms:modified>
</cp:coreProperties>
</file>

<file path=docProps/custom.xml><?xml version="1.0" encoding="utf-8"?>
<Properties xmlns="http://schemas.openxmlformats.org/officeDocument/2006/custom-properties" xmlns:vt="http://schemas.openxmlformats.org/officeDocument/2006/docPropsVTypes"/>
</file>