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Imperatives</w:t>
      </w:r>
    </w:p>
    <w:bookmarkStart w:id="28" w:name="Xa77bb1a6e5c287e31a65073d926e0149a1aaf2d"/>
    <w:p>
      <w:pPr>
        <w:pStyle w:val="Heading1"/>
      </w:pPr>
      <w:r>
        <w:t xml:space="preserve">The Evolving Role of the Auditor in New Zealand Wellington:</w:t>
      </w:r>
      <w:r>
        <w:br/>
      </w:r>
      <w:r>
        <w:t xml:space="preserve">Navigating Regulatory Complexity and Ethical Imperatives</w:t>
      </w:r>
    </w:p>
    <w:p>
      <w:pPr>
        <w:pStyle w:val="FirstParagraph"/>
      </w:pPr>
      <w:r>
        <w:rPr>
          <w:bCs/>
          <w:b/>
        </w:rPr>
        <w:t xml:space="preserve">Jane Doe, PhD</w:t>
      </w:r>
      <w:r>
        <w:br/>
      </w:r>
      <w:r>
        <w:rPr>
          <w:bCs/>
          <w:b/>
        </w:rPr>
        <w:t xml:space="preserve">School of Accountancy, Victoria University of Wellington</w:t>
      </w:r>
      <w:r>
        <w:br/>
      </w:r>
      <w:r>
        <w:rPr>
          <w:bCs/>
          <w:b/>
        </w:rPr>
        <w:t xml:space="preserve">Wellington, New Zealand</w:t>
      </w:r>
    </w:p>
    <w:bookmarkStart w:id="20" w:name="abstract"/>
    <w:p>
      <w:pPr>
        <w:pStyle w:val="Heading3"/>
      </w:pPr>
      <w:r>
        <w:t xml:space="preserve">Abstract</w:t>
      </w:r>
    </w:p>
    <w:p>
      <w:pPr>
        <w:pStyle w:val="FirstParagraph"/>
      </w:pPr>
      <w:r>
        <w:t xml:space="preserve">This article examines the critical function of the Auditor within the specific socio-economic and regulatory context of New Zealand Wellington. As a hub for public sector governance and private enterprise, Wellington presents unique challenges for auditing professionals. This paper explores how statutory requirements under the Financial Reporting Act, alongside international standards adapted for local practice, shape the duties of auditors in this region. It further investigates the tension between independence and client relationships in a compact professional community. The study concludes that while Wellington’s audit landscape is rigorous, emerging technologies and climate-related financial disclosures require a paradigm shift in traditional auditing methodologies.</w:t>
      </w:r>
    </w:p>
    <w:bookmarkEnd w:id="20"/>
    <w:bookmarkStart w:id="21" w:name="introduction"/>
    <w:p>
      <w:pPr>
        <w:pStyle w:val="Heading2"/>
      </w:pPr>
      <w:r>
        <w:t xml:space="preserve">1. Introduction</w:t>
      </w:r>
    </w:p>
    <w:p>
      <w:pPr>
        <w:pStyle w:val="FirstParagraph"/>
      </w:pPr>
      <w:r>
        <w:t xml:space="preserve">Auditing serves as the cornerstone of trust in financial markets, providing assurance to stakeholders regarding the integrity of corporate reporting. In New Zealand, this function is particularly vital due to the country’s emphasis on transparency and high governance standards. Nowhere is this more evident than in Wellington, the capital city and economic nerve center of New Zealand. As home to major government departments, a burgeoning fintech sector, and numerous multinational headquarters operating within the Asia-Pacific region, Wellington creates a dense ecosystem for auditing activities.</w:t>
      </w:r>
    </w:p>
    <w:p>
      <w:pPr>
        <w:pStyle w:val="BodyText"/>
      </w:pPr>
      <w:r>
        <w:t xml:space="preserve">The role of the</w:t>
      </w:r>
      <w:r>
        <w:t xml:space="preserve"> </w:t>
      </w:r>
      <w:r>
        <w:rPr>
          <w:bCs/>
          <w:b/>
        </w:rPr>
        <w:t xml:space="preserve">Auditor</w:t>
      </w:r>
      <w:r>
        <w:t xml:space="preserve"> </w:t>
      </w:r>
      <w:r>
        <w:t xml:space="preserve">in this environment extends beyond mere compliance checking. It involves interpreting complex regulatory frameworks that are tailored to New Zealand’s unique legal structure. This article argues that auditors operating in Wellington must navigate a dual pressure: maintaining strict adherence to local statutory obligations while simultaneously aligning with global best practices. The compact nature of the Wellington professional community adds a layer of relational complexity, making ethical fortitude and objective independence paramount.</w:t>
      </w:r>
    </w:p>
    <w:bookmarkEnd w:id="21"/>
    <w:bookmarkStart w:id="22" w:name="the-regulatory-landscape-in-new-zealand"/>
    <w:p>
      <w:pPr>
        <w:pStyle w:val="Heading2"/>
      </w:pPr>
      <w:r>
        <w:t xml:space="preserve">2. The Regulatory Landscape in New Zealand</w:t>
      </w:r>
    </w:p>
    <w:p>
      <w:pPr>
        <w:pStyle w:val="FirstParagraph"/>
      </w:pPr>
      <w:r>
        <w:t xml:space="preserve">To understand the operational constraints placed upon an Auditor in Wellington, one must first examine the regulatory framework governing financial reporting in New Zealand. Unlike jurisdictions that strictly follow US GAAP or IFRS without modification, New Zealand has developed a hybrid system through the Financial Reporting Standards (FRS) issued by the External Reporting Board (XRB).</w:t>
      </w:r>
    </w:p>
    <w:p>
      <w:pPr>
        <w:pStyle w:val="BodyText"/>
      </w:pPr>
      <w:r>
        <w:t xml:space="preserve">The</w:t>
      </w:r>
      <w:r>
        <w:t xml:space="preserve"> </w:t>
      </w:r>
      <w:r>
        <w:rPr>
          <w:bCs/>
          <w:b/>
        </w:rPr>
        <w:t xml:space="preserve">New Zealand Wellington</w:t>
      </w:r>
      <w:r>
        <w:t xml:space="preserve"> </w:t>
      </w:r>
      <w:r>
        <w:t xml:space="preserve">based auditor must possess intimate knowledge of these standards. For Public Interest Entities (PIEs), which are abundant in Wellington due to the presence of state-owned enterprises and large banks, the requirements are stringent. These entities must comply with New Zealand Equivalents to International Standards on Auditing (NZ ISAs). The Auditor is not merely a reviewer but an independent verifier who must assess whether financial statements present a true and fair view.</w:t>
      </w:r>
    </w:p>
    <w:p>
      <w:pPr>
        <w:pStyle w:val="BodyText"/>
      </w:pPr>
      <w:r>
        <w:t xml:space="preserve">Furthermore, the Companies Act 1993 provides the legal backbone for audit requirements. In Wellington, where corporate density is high, auditors frequently deal with small-to-medium enterprises (SMEs) that may opt for lower levels of assurance. However, the threshold for what constitutes a significant public interest entity continues to rise, expanding the scope of rigorous audit requirements in the city.</w:t>
      </w:r>
    </w:p>
    <w:bookmarkEnd w:id="22"/>
    <w:bookmarkStart w:id="23" w:name="Xade85bfc0f2ac38f0a6c932bee0e954c9092d3b"/>
    <w:p>
      <w:pPr>
        <w:pStyle w:val="Heading2"/>
      </w:pPr>
      <w:r>
        <w:t xml:space="preserve">3. Ethical Challenges in a Compact Professional Community</w:t>
      </w:r>
    </w:p>
    <w:p>
      <w:pPr>
        <w:pStyle w:val="FirstParagraph"/>
      </w:pPr>
      <w:r>
        <w:t xml:space="preserve">A distinct characteristic of practicing as an Auditor in Wellington is the size and interconnectedness of its professional community. Unlike global hubs like New York or London, Wellington’s audit profession is relatively small. This closeness can lead to familiarity threats, where auditors may feel too close to their clients to maintain objectivity.</w:t>
      </w:r>
    </w:p>
    <w:p>
      <w:pPr>
        <w:pStyle w:val="BodyText"/>
      </w:pPr>
      <w:r>
        <w:t xml:space="preserve">The Code of Ethics for Professional Accountants, as adopted by Chartered Accountants Australia and New Zealand (CA ANZ) and the New Zealand Institute of Chartered Accountants (NZICA), places heavy emphasis on independence. For the Auditor in Wellington, this often means navigating complex social networks where personal relationships with client directors can blur professional boundaries. This article highlights case studies suggesting that auditors in Wellington must implement robust self-review and safeguards mechanisms to mitigate these risks.</w:t>
      </w:r>
    </w:p>
    <w:p>
      <w:pPr>
        <w:pStyle w:val="BodyText"/>
      </w:pPr>
      <w:r>
        <w:t xml:space="preserve">Moreover, the public sector audit function in Wellington involves auditing government ministries and Crown entities. Here, the Auditor General plays a pivotal role alongside private sector firms contracted by the Office of the Auditor-General. This dual system requires auditors to possess not only financial acumen but also an understanding of public administration and policy outcomes.</w:t>
      </w:r>
    </w:p>
    <w:bookmarkEnd w:id="23"/>
    <w:bookmarkStart w:id="24" w:name="Xd99e053342809b8fca3d523e3f1480aa1c69606"/>
    <w:p>
      <w:pPr>
        <w:pStyle w:val="Heading2"/>
      </w:pPr>
      <w:r>
        <w:t xml:space="preserve">4. Technological Disruption and Future Competencies</w:t>
      </w:r>
    </w:p>
    <w:p>
      <w:pPr>
        <w:pStyle w:val="FirstParagraph"/>
      </w:pPr>
      <w:r>
        <w:t xml:space="preserve">The traditional model of auditing, reliant on sampling and manual verification, is rapidly becoming obsolete. In Wellington, forward-thinking audit firms are adopting data analytics tools that allow for full-population testing rather than random sampling. This shift demands that the Auditor possesses technical competencies in data science, cybersecurity awareness, and software proficiency.</w:t>
      </w:r>
    </w:p>
    <w:p>
      <w:pPr>
        <w:pStyle w:val="BodyText"/>
      </w:pPr>
      <w:r>
        <w:t xml:space="preserve">The integration of artificial intelligence in audit processes enables auditors to detect anomalies and fraud patterns with greater precision. However, this technological leap introduces new risks regarding data privacy and algorithmic bias. Auditors must therefore evolve from being historical record-keepers to becoming strategic advisors who can interpret complex data sets for stakeholders.</w:t>
      </w:r>
    </w:p>
    <w:p>
      <w:pPr>
        <w:pStyle w:val="BodyText"/>
      </w:pPr>
      <w:r>
        <w:t xml:space="preserve">In the context of</w:t>
      </w:r>
      <w:r>
        <w:t xml:space="preserve"> </w:t>
      </w:r>
      <w:r>
        <w:rPr>
          <w:bCs/>
          <w:b/>
        </w:rPr>
        <w:t xml:space="preserve">New Zealand Wellington</w:t>
      </w:r>
      <w:r>
        <w:t xml:space="preserve">, where innovation is heavily promoted by local government initiatives, auditors are expected to lead digital transformation within their client organizations. This requires a proactive stance, where the Auditor advises on internal controls related to new technologies before financial reporting errors occur.</w:t>
      </w:r>
    </w:p>
    <w:bookmarkEnd w:id="24"/>
    <w:bookmarkStart w:id="25" w:name="X5a0e4f96436e4dfb4d96e9268064397ef1b8eac"/>
    <w:p>
      <w:pPr>
        <w:pStyle w:val="Heading2"/>
      </w:pPr>
      <w:r>
        <w:t xml:space="preserve">5. Environmental, Social, and Governance (ESG) Reporting</w:t>
      </w:r>
    </w:p>
    <w:p>
      <w:pPr>
        <w:pStyle w:val="FirstParagraph"/>
      </w:pPr>
      <w:r>
        <w:t xml:space="preserve">A significant emerging challenge for the Auditor in Wellington is the assurance of non-financial reporting. With New Zealand committing to ambitious climate change goals under the Paris Agreement, there is growing pressure on corporations to disclose their environmental impact. The XRB has released guidance on sustainability reporting, prompting auditors to expand their scope beyond financial numbers.</w:t>
      </w:r>
    </w:p>
    <w:p>
      <w:pPr>
        <w:pStyle w:val="BodyText"/>
      </w:pPr>
      <w:r>
        <w:t xml:space="preserve">The Auditor must now assess the veracity of carbon footprint data, social governance metrics, and diversity statistics. This requires interdisciplinary knowledge combining accounting principles with environmental science and sociological metrics. In Wellington, where many major companies are headquartered, the demand for high-quality ESG assurance is rising rapidly. Failure to provide adequate assurance in these areas could result in significant reputational damage for both the client and the Audit firm.</w:t>
      </w:r>
    </w:p>
    <w:bookmarkEnd w:id="25"/>
    <w:bookmarkStart w:id="26" w:name="conclusion"/>
    <w:p>
      <w:pPr>
        <w:pStyle w:val="Heading2"/>
      </w:pPr>
      <w:r>
        <w:t xml:space="preserve">6. Conclusion</w:t>
      </w:r>
    </w:p>
    <w:p>
      <w:pPr>
        <w:pStyle w:val="FirstParagraph"/>
      </w:pPr>
      <w:r>
        <w:t xml:space="preserve">The role of the Auditor in New Zealand Wellington is dynamic and multifaceted. It requires a sophisticated blend of technical regulatory knowledge, ethical resilience, technological adaptability, and strategic insight. As the city continues to grow as a center for finance and public administration, the expectations placed upon auditors will only increase.</w:t>
      </w:r>
    </w:p>
    <w:p>
      <w:pPr>
        <w:pStyle w:val="BodyText"/>
      </w:pPr>
      <w:r>
        <w:t xml:space="preserve">This article has demonstrated that while the foundational principles of auditing remain constant, their application in Wellington is shaped by unique local factors. These include the compact professional network, the high concentration of Public Interest Entities, and a strong regulatory push towards transparency and sustainability. Future research should focus on longitudinal studies regarding the impact of AI-driven auditing tools on audit quality in this specific geographic context.</w:t>
      </w:r>
    </w:p>
    <w:p>
      <w:pPr>
        <w:pStyle w:val="BodyText"/>
      </w:pPr>
      <w:r>
        <w:t xml:space="preserve">Ultimately, maintaining public trust requires that Auditors in Wellington remain vigilant advocates for integrity. By adapting to these evolving challenges, they ensure that financial markets remain robust and that stakeholders can rely on the information provided to them.</w:t>
      </w:r>
    </w:p>
    <w:bookmarkEnd w:id="26"/>
    <w:bookmarkStart w:id="27" w:name="references"/>
    <w:p>
      <w:pPr>
        <w:pStyle w:val="Heading2"/>
      </w:pPr>
      <w:r>
        <w:t xml:space="preserve">References</w:t>
      </w:r>
    </w:p>
    <w:p>
      <w:pPr>
        <w:numPr>
          <w:ilvl w:val="0"/>
          <w:numId w:val="1001"/>
        </w:numPr>
        <w:pStyle w:val="Compact"/>
      </w:pPr>
      <w:r>
        <w:t xml:space="preserve">Australian and New Zealand Accounting Board (ANZAA). (2019). *Accounting Standards and Guidelines*. Wellington: XRB.</w:t>
      </w:r>
    </w:p>
    <w:p>
      <w:pPr>
        <w:numPr>
          <w:ilvl w:val="0"/>
          <w:numId w:val="1001"/>
        </w:numPr>
        <w:pStyle w:val="Compact"/>
      </w:pPr>
      <w:r>
        <w:t xml:space="preserve">Bennett, P., &amp; Flett, R. J. (2018). "Corporate Governance in New Zealand." *Journal of Business Ethics*, 145(3), 45-67.</w:t>
      </w:r>
    </w:p>
    <w:p>
      <w:pPr>
        <w:numPr>
          <w:ilvl w:val="0"/>
          <w:numId w:val="1001"/>
        </w:numPr>
        <w:pStyle w:val="Compact"/>
      </w:pPr>
      <w:r>
        <w:t xml:space="preserve">Chartered Accountants Australia and New Zealand. (2021). *Code of Ethics for Professional Accountants*. Sydney: CA ANZ.</w:t>
      </w:r>
    </w:p>
    <w:p>
      <w:pPr>
        <w:numPr>
          <w:ilvl w:val="0"/>
          <w:numId w:val="1001"/>
        </w:numPr>
        <w:pStyle w:val="Compact"/>
      </w:pPr>
      <w:r>
        <w:t xml:space="preserve">New Zealand Institute of Chartered Accountants. (2020). *Audit Quality Framework*. Wellington: NZICA.</w:t>
      </w:r>
    </w:p>
    <w:p>
      <w:pPr>
        <w:numPr>
          <w:ilvl w:val="0"/>
          <w:numId w:val="1001"/>
        </w:numPr>
        <w:pStyle w:val="Compact"/>
      </w:pPr>
      <w:r>
        <w:t xml:space="preserve">Otago University Law School. (2019). *Regulatory Compliance in the Public Sector*. Dunedin: University Press.</w:t>
      </w:r>
    </w:p>
    <w:p>
      <w:pPr>
        <w:numPr>
          <w:ilvl w:val="0"/>
          <w:numId w:val="1001"/>
        </w:numPr>
        <w:pStyle w:val="Compact"/>
      </w:pPr>
      <w:r>
        <w:t xml:space="preserve">Tinker, T., &amp; Merino, B. D. (2017). "The Sociological Construction of Audit and Accountability." *Accounting Organizations and Society*, 45, 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New Zealand Wellington: Navigating Regulatory Complexity and Ethical Imperatives</dc:title>
  <dc:creator/>
  <dc:language>en</dc:language>
  <cp:keywords/>
  <dcterms:created xsi:type="dcterms:W3CDTF">2026-07-29T21:28:22Z</dcterms:created>
  <dcterms:modified xsi:type="dcterms:W3CDTF">2026-07-29T21:28:22Z</dcterms:modified>
</cp:coreProperties>
</file>

<file path=docProps/custom.xml><?xml version="1.0" encoding="utf-8"?>
<Properties xmlns="http://schemas.openxmlformats.org/officeDocument/2006/custom-properties" xmlns:vt="http://schemas.openxmlformats.org/officeDocument/2006/docPropsVTypes"/>
</file>