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Regulatory</w:t>
      </w:r>
      <w:r>
        <w:t xml:space="preserve"> </w:t>
      </w:r>
      <w:r>
        <w:t xml:space="preserve">Frameworks</w:t>
      </w:r>
      <w:r>
        <w:t xml:space="preserve"> </w:t>
      </w:r>
      <w:r>
        <w:t xml:space="preserve">and</w:t>
      </w:r>
      <w:r>
        <w:t xml:space="preserve"> </w:t>
      </w:r>
      <w:r>
        <w:t xml:space="preserve">Economic</w:t>
      </w:r>
      <w:r>
        <w:t xml:space="preserve"> </w:t>
      </w:r>
      <w:r>
        <w:t xml:space="preserve">Diversification</w:t>
      </w:r>
    </w:p>
    <w:p>
      <w:pPr>
        <w:pStyle w:val="FirstParagraph"/>
      </w:pPr>
      <w:r>
        <w:t xml:space="preserve">```html</w:t>
      </w:r>
    </w:p>
    <w:bookmarkStart w:id="36" w:name="Xc3bcd2bdca0dcddacd866dd463c29d2ca278ba4"/>
    <w:p>
      <w:pPr>
        <w:pStyle w:val="Heading1"/>
      </w:pPr>
      <w:r>
        <w:t xml:space="preserve">The Evolving Role of the Auditor in Qatar Doha: Navigating Regulatory Frameworks and Economic Diversification</w:t>
      </w:r>
    </w:p>
    <w:p>
      <w:pPr>
        <w:pStyle w:val="FirstParagraph"/>
      </w:pPr>
      <w:r>
        <w:br/>
      </w:r>
      <w:r>
        <w:rPr>
          <w:iCs/>
          <w:i/>
          <w:bCs/>
          <w:b/>
        </w:rPr>
        <w:t xml:space="preserve">Alexander J. Thorne</w:t>
      </w:r>
      <w:r>
        <w:br/>
      </w:r>
      <w:r>
        <w:t xml:space="preserve">*Department of Accounting and Financial Studies, Qatar University, Doha, Qatar*</w:t>
      </w:r>
      <w:r>
        <w:br/>
      </w:r>
      <w:r>
        <w:t xml:space="preserve">*Corresponding Author Email: a.thorne@qu.edu.qa*</w:t>
      </w:r>
      <w:r>
        <w:br/>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function of the auditor within the dynamic economic landscape of</w:t>
      </w:r>
      <w:r>
        <w:t xml:space="preserve"> </w:t>
      </w:r>
      <w:r>
        <w:rPr>
          <w:bCs/>
          <w:b/>
        </w:rPr>
        <w:t xml:space="preserve">Qatar Doha</w:t>
      </w:r>
      <w:r>
        <w:t xml:space="preserve">. As</w:t>
      </w:r>
      <w:r>
        <w:t xml:space="preserve"> </w:t>
      </w:r>
      <w:r>
        <w:rPr>
          <w:bCs/>
          <w:b/>
        </w:rPr>
        <w:t xml:space="preserve">Qatar Doha</w:t>
      </w:r>
      <w:r>
        <w:t xml:space="preserve"> </w:t>
      </w:r>
      <w:r>
        <w:t xml:space="preserve">accelerates its transition away from hydrocarbon dependency under Qatar National Vision 2030, the integrity, transparency, and reliability of financial reporting have become paramount. This study analyzes the regulatory environment governing auditors in this region, highlighting the shift towards International Standards on Auditing (ISA) and local compliance requirements. Furthermore, it explores the challenges faced by practicing</w:t>
      </w:r>
      <w:r>
        <w:t xml:space="preserve"> </w:t>
      </w:r>
      <w:r>
        <w:rPr>
          <w:bCs/>
          <w:b/>
        </w:rPr>
        <w:t xml:space="preserve">Auditor</w:t>
      </w:r>
      <w:r>
        <w:t xml:space="preserve"> </w:t>
      </w:r>
      <w:r>
        <w:t xml:space="preserve">professionals in</w:t>
      </w:r>
      <w:r>
        <w:t xml:space="preserve"> </w:t>
      </w:r>
      <w:r>
        <w:rPr>
          <w:bCs/>
          <w:b/>
        </w:rPr>
        <w:t xml:space="preserve">Qatar Doha</w:t>
      </w:r>
      <w:r>
        <w:t xml:space="preserve">, including cultural nuances, technological disruption through audit analytics, and the rising demand for assurance services in non-traditional sectors. The paper concludes with recommendations for enhancing auditor independence and professional competence to support sustainable economic growth.</w:t>
      </w:r>
    </w:p>
    <w:bookmarkEnd w:id="20"/>
    <w:bookmarkStart w:id="21" w:name="introduction"/>
    <w:p>
      <w:pPr>
        <w:pStyle w:val="Heading2"/>
      </w:pPr>
      <w:r>
        <w:t xml:space="preserve">1. Introduction</w:t>
      </w:r>
    </w:p>
    <w:p>
      <w:pPr>
        <w:pStyle w:val="FirstParagraph"/>
      </w:pPr>
      <w:r>
        <w:t xml:space="preserve">The financial architecture of any emerging economy is heavily reliant on the credibility of its financial statements, a credibility that is established through rigorous independent verification. In</w:t>
      </w:r>
      <w:r>
        <w:t xml:space="preserve"> </w:t>
      </w:r>
      <w:r>
        <w:rPr>
          <w:bCs/>
          <w:b/>
        </w:rPr>
        <w:t xml:space="preserve">Qatar Doha</w:t>
      </w:r>
      <w:r>
        <w:t xml:space="preserve">, the capital city and primary commercial hub, this role has undergone significant transformation over the past two decades. Historically dominated by state-owned enterprises linked to energy sectors,</w:t>
      </w:r>
      <w:r>
        <w:t xml:space="preserve"> </w:t>
      </w:r>
      <w:r>
        <w:rPr>
          <w:bCs/>
          <w:b/>
        </w:rPr>
        <w:t xml:space="preserve">Qatar Doha</w:t>
      </w:r>
      <w:r>
        <w:t xml:space="preserve">'s market is now witnessing a surge in private sector activity, foreign direct investment (FDI), and small-to-medium enterprise (SME) growth.</w:t>
      </w:r>
    </w:p>
    <w:p>
      <w:pPr>
        <w:pStyle w:val="BodyText"/>
      </w:pPr>
      <w:r>
        <w:t xml:space="preserve">This diversification necessitates a robust system of accountability. The</w:t>
      </w:r>
    </w:p>
    <w:p>
      <w:pPr>
        <w:pStyle w:val="BodyText"/>
      </w:pPr>
      <w:r>
        <w:t xml:space="preserve">Auditor, therefore, ceases to be merely a compliance officer but transforms into a strategic assurance provider. This article investigates the multifaceted role of the</w:t>
      </w:r>
      <w:r>
        <w:t xml:space="preserve"> </w:t>
      </w:r>
      <w:r>
        <w:rPr>
          <w:bCs/>
          <w:b/>
        </w:rPr>
        <w:t xml:space="preserve">Auditor</w:t>
      </w:r>
      <w:r>
        <w:t xml:space="preserve"> </w:t>
      </w:r>
      <w:r>
        <w:t xml:space="preserve">in</w:t>
      </w:r>
      <w:r>
        <w:t xml:space="preserve"> </w:t>
      </w:r>
      <w:r>
        <w:rPr>
          <w:bCs/>
          <w:b/>
        </w:rPr>
        <w:t xml:space="preserve">Qatar Doha</w:t>
      </w:r>
      <w:r>
        <w:t xml:space="preserve">, emphasizing how regulatory reforms and market demands are reshaping professional standards. As</w:t>
      </w:r>
    </w:p>
    <w:p>
      <w:pPr>
        <w:pStyle w:val="BodyText"/>
      </w:pPr>
      <w:r>
        <w:t xml:space="preserve">Qatar Doha positions itself as a global business hub, particularly following major international events such as the FIFA World Cup 2022, the scrutiny on financial governance has intensified.</w:t>
      </w:r>
    </w:p>
    <w:bookmarkEnd w:id="21"/>
    <w:bookmarkStart w:id="24" w:name="X55098e4a85a85e031d8d3fbcaf2ba0d6b729b00"/>
    <w:p>
      <w:pPr>
        <w:pStyle w:val="Heading2"/>
      </w:pPr>
      <w:r>
        <w:t xml:space="preserve">2. Regulatory Framework and Compliance in Qatar Doha</w:t>
      </w:r>
    </w:p>
    <w:p>
      <w:pPr>
        <w:pStyle w:val="FirstParagraph"/>
      </w:pPr>
      <w:r>
        <w:t xml:space="preserve">The regulatory landscape for auditing in</w:t>
      </w:r>
      <w:r>
        <w:t xml:space="preserve"> </w:t>
      </w:r>
      <w:r>
        <w:rPr>
          <w:bCs/>
          <w:b/>
        </w:rPr>
        <w:t xml:space="preserve">Qatar Doha</w:t>
      </w:r>
      <w:r>
        <w:br/>
      </w:r>
      <w:r>
        <w:t xml:space="preserve">is primarily governed by Law No. 38 of 1994 concerning Companies, as amended, and subsequent directives issued by the Qatar Financial Markets Authority (QFMA) and the Ministry of Commerce and Industry.</w:t>
      </w:r>
    </w:p>
    <w:bookmarkStart w:id="22" w:name="adoption-of-international-standards"/>
    <w:p>
      <w:pPr>
        <w:pStyle w:val="Heading3"/>
      </w:pPr>
      <w:r>
        <w:t xml:space="preserve">2.1 Adoption of International Standards</w:t>
      </w:r>
    </w:p>
    <w:p>
      <w:pPr>
        <w:pStyle w:val="FirstParagraph"/>
      </w:pPr>
      <w:r>
        <w:t xml:space="preserve">A pivotal development in</w:t>
      </w:r>
      <w:r>
        <w:t xml:space="preserve"> </w:t>
      </w:r>
      <w:r>
        <w:rPr>
          <w:bCs/>
          <w:b/>
        </w:rPr>
        <w:t xml:space="preserve">Qatar Doha</w:t>
      </w:r>
      <w:r>
        <w:br/>
      </w:r>
      <w:r>
        <w:t xml:space="preserve">has been the mandatory adoption of International Standards on Auditing (ISA). This alignment ensures that an</w:t>
      </w:r>
    </w:p>
    <w:p>
      <w:pPr>
        <w:pStyle w:val="BodyText"/>
      </w:pPr>
      <w:r>
        <w:t xml:space="preserve">Auditor</w:t>
      </w:r>
      <w:r>
        <w:br/>
      </w:r>
      <w:r>
        <w:t xml:space="preserve">operating in</w:t>
      </w:r>
    </w:p>
    <w:p>
      <w:pPr>
        <w:pStyle w:val="BodyText"/>
      </w:pPr>
      <w:r>
        <w:t xml:space="preserve">Qatar Doha</w:t>
      </w:r>
      <w:r>
        <w:br/>
      </w:r>
      <w:r>
        <w:t xml:space="preserve">adheres to globally recognized benchmarks for audit quality, risk assessment, and evidence gathering. The transition required extensive retraining for local firms and international offices alike, fostering a convergence of best practices.</w:t>
      </w:r>
    </w:p>
    <w:bookmarkEnd w:id="22"/>
    <w:bookmarkStart w:id="23" w:name="corporate-governance-codes"/>
    <w:p>
      <w:pPr>
        <w:pStyle w:val="Heading3"/>
      </w:pPr>
      <w:r>
        <w:t xml:space="preserve">2.2 Corporate Governance Codes</w:t>
      </w:r>
    </w:p>
    <w:p>
      <w:pPr>
        <w:pStyle w:val="FirstParagraph"/>
      </w:pPr>
      <w:r>
        <w:t xml:space="preserve">The QFMA’s Code of Corporate Governance imposes strict requirements on listed companies in</w:t>
      </w:r>
      <w:r>
        <w:t xml:space="preserve"> </w:t>
      </w:r>
      <w:r>
        <w:rPr>
          <w:bCs/>
          <w:b/>
        </w:rPr>
        <w:t xml:space="preserve">Qatar Doha</w:t>
      </w:r>
      <w:r>
        <w:br/>
      </w:r>
      <w:r>
        <w:t xml:space="preserve">regarding the composition and independence of audit committees. Consequently, the</w:t>
      </w:r>
    </w:p>
    <w:p>
      <w:pPr>
        <w:pStyle w:val="BodyText"/>
      </w:pPr>
      <w:r>
        <w:t xml:space="preserve">Auditor</w:t>
      </w:r>
      <w:r>
        <w:br/>
      </w:r>
      <w:r>
        <w:t xml:space="preserve">must maintain a higher degree of objectivity. Recent amendments emphasize that auditors must rotate after specific periods to prevent familiarity threats, a regulation that is strictly enforced in the local context.</w:t>
      </w:r>
    </w:p>
    <w:bookmarkEnd w:id="23"/>
    <w:bookmarkEnd w:id="24"/>
    <w:bookmarkStart w:id="27" w:name="the-changing-scope-of-audit-services"/>
    <w:p>
      <w:pPr>
        <w:pStyle w:val="Heading2"/>
      </w:pPr>
      <w:r>
        <w:t xml:space="preserve">3. The Changing Scope of Audit Services</w:t>
      </w:r>
    </w:p>
    <w:p>
      <w:pPr>
        <w:pStyle w:val="FirstParagraph"/>
      </w:pPr>
      <w:r>
        <w:t xml:space="preserve">Gone are the days when an</w:t>
      </w:r>
    </w:p>
    <w:p>
      <w:pPr>
        <w:pStyle w:val="BodyText"/>
      </w:pPr>
      <w:r>
        <w:t xml:space="preserve">Auditor</w:t>
      </w:r>
      <w:r>
        <w:br/>
      </w:r>
      <w:r>
        <w:t xml:space="preserve">in</w:t>
      </w:r>
      <w:r>
        <w:t xml:space="preserve"> </w:t>
      </w:r>
      <w:r>
        <w:rPr>
          <w:bCs/>
          <w:b/>
        </w:rPr>
        <w:t xml:space="preserve">Qatar Doha</w:t>
      </w:r>
      <w:r>
        <w:br/>
      </w:r>
      <w:r>
        <w:t xml:space="preserve">focused solely on historical financial data. The scope has expanded significantly due to several factors unique to the region.</w:t>
      </w:r>
    </w:p>
    <w:bookmarkStart w:id="25" w:name="esg-and-sustainability-reporting"/>
    <w:p>
      <w:pPr>
        <w:pStyle w:val="Heading3"/>
      </w:pPr>
      <w:r>
        <w:t xml:space="preserve">3.1 ESG and Sustainability Reporting</w:t>
      </w:r>
    </w:p>
    <w:p>
      <w:pPr>
        <w:pStyle w:val="FirstParagraph"/>
      </w:pPr>
      <w:r>
        <w:t xml:space="preserve">In line with Qatar National Vision 2030, there is a growing emphasis on Environmental, Social, and Governance (ESG) criteria. Large conglomerates in</w:t>
      </w:r>
      <w:r>
        <w:t xml:space="preserve"> </w:t>
      </w:r>
      <w:r>
        <w:rPr>
          <w:bCs/>
          <w:b/>
        </w:rPr>
        <w:t xml:space="preserve">Qatar Doha</w:t>
      </w:r>
      <w:r>
        <w:br/>
      </w:r>
      <w:r>
        <w:t xml:space="preserve">are increasingly required to disclose non-financial metrics. Therefore, the modern</w:t>
      </w:r>
    </w:p>
    <w:p>
      <w:pPr>
        <w:pStyle w:val="BodyText"/>
      </w:pPr>
      <w:r>
        <w:t xml:space="preserve">Auditor</w:t>
      </w:r>
      <w:r>
        <w:br/>
      </w:r>
      <w:r>
        <w:t xml:space="preserve">must possess expertise not only in financial accounting but also in sustainability assurance standards. This dual competency is becoming a differentiator for audit firms operating in the capital.</w:t>
      </w:r>
    </w:p>
    <w:bookmarkEnd w:id="25"/>
    <w:bookmarkStart w:id="26" w:name="forensic-auditing-and-fraud-detection"/>
    <w:p>
      <w:pPr>
        <w:pStyle w:val="Heading3"/>
      </w:pPr>
      <w:r>
        <w:t xml:space="preserve">3.2 Forensic Auditing and Fraud Detection</w:t>
      </w:r>
    </w:p>
    <w:p>
      <w:pPr>
        <w:pStyle w:val="FirstParagraph"/>
      </w:pPr>
      <w:r>
        <w:t xml:space="preserve">As</w:t>
      </w:r>
    </w:p>
    <w:p>
      <w:pPr>
        <w:pStyle w:val="BodyText"/>
      </w:pPr>
      <w:r>
        <w:t xml:space="preserve">Qatar Doha</w:t>
      </w:r>
      <w:r>
        <w:br/>
      </w:r>
      <w:r>
        <w:t xml:space="preserve">attracts more international investors, the risk of financial misstatement or fraud becomes a critical concern. Consequently, there is an increased demand for forensic auditing services. Local firms are expanding their capabilities to detect irregularities in complex transactions, particularly in real estate and construction projects that have proliferated in the city.</w:t>
      </w:r>
    </w:p>
    <w:bookmarkEnd w:id="26"/>
    <w:bookmarkEnd w:id="27"/>
    <w:bookmarkStart w:id="31" w:name="challenges-facing-auditors-in-qatar-doha"/>
    <w:p>
      <w:pPr>
        <w:pStyle w:val="Heading2"/>
      </w:pPr>
      <w:r>
        <w:t xml:space="preserve">4. Challenges Facing Auditors in Qatar Doha</w:t>
      </w:r>
    </w:p>
    <w:p>
      <w:pPr>
        <w:pStyle w:val="FirstParagraph"/>
      </w:pPr>
      <w:r>
        <w:t xml:space="preserve">Despite regulatory advancements,</w:t>
      </w:r>
    </w:p>
    <w:p>
      <w:pPr>
        <w:pStyle w:val="BodyText"/>
      </w:pPr>
      <w:r>
        <w:t xml:space="preserve">Auditor</w:t>
      </w:r>
      <w:r>
        <w:br/>
      </w:r>
      <w:r>
        <w:t xml:space="preserve">professionals working in</w:t>
      </w:r>
      <w:r>
        <w:t xml:space="preserve"> </w:t>
      </w:r>
      <w:r>
        <w:rPr>
          <w:bCs/>
          <w:b/>
        </w:rPr>
        <w:t xml:space="preserve">Qatar Doha</w:t>
      </w:r>
      <w:r>
        <w:br/>
      </w:r>
      <w:r>
        <w:t xml:space="preserve">face distinct challenges.</w:t>
      </w:r>
    </w:p>
    <w:bookmarkStart w:id="28" w:name="cultural-and-communication-barriers"/>
    <w:p>
      <w:pPr>
        <w:pStyle w:val="Heading3"/>
      </w:pPr>
      <w:r>
        <w:t xml:space="preserve">4.1 Cultural and Communication Barriers</w:t>
      </w:r>
    </w:p>
    <w:p>
      <w:pPr>
        <w:pStyle w:val="FirstParagraph"/>
      </w:pPr>
      <w:r>
        <w:t xml:space="preserve">Qatar Doha</w:t>
      </w:r>
      <w:r>
        <w:br/>
      </w:r>
      <w:r>
        <w:t xml:space="preserve">is a multicultural environment with a diverse workforce. Auditors must navigate cultural nuances when communicating findings to management boards that may include expatriates and locals. Effective communication styles vary, requiring auditors to possess high emotional intelligence and cross-cultural competence.</w:t>
      </w:r>
    </w:p>
    <w:bookmarkEnd w:id="28"/>
    <w:bookmarkStart w:id="29" w:name="talent-retention-and-qatariization"/>
    <w:p>
      <w:pPr>
        <w:pStyle w:val="Heading3"/>
      </w:pPr>
      <w:r>
        <w:t xml:space="preserve">4.2 Talent Retention and Qatariization</w:t>
      </w:r>
    </w:p>
    <w:p>
      <w:pPr>
        <w:pStyle w:val="FirstParagraph"/>
      </w:pPr>
      <w:r>
        <w:t xml:space="preserve">The government’s policy of "Qatariization" aims to increase the employment of nationals in the private sector. For the audit profession, this means a shift towards employing more Qatari professionals. While beneficial for long-term sustainability, it poses a challenge regarding knowledge transfer and experience levels.</w:t>
      </w:r>
    </w:p>
    <w:p>
      <w:pPr>
        <w:pStyle w:val="BodyText"/>
      </w:pPr>
      <w:r>
        <w:t xml:space="preserve">Auditor</w:t>
      </w:r>
      <w:r>
        <w:br/>
      </w:r>
      <w:r>
        <w:t xml:space="preserve">firms must invest heavily in continuous professional development (CPD) to ensure local talent meets international competency standards.</w:t>
      </w:r>
    </w:p>
    <w:bookmarkEnd w:id="29"/>
    <w:bookmarkStart w:id="30" w:name="technological-disruption"/>
    <w:p>
      <w:pPr>
        <w:pStyle w:val="Heading3"/>
      </w:pPr>
      <w:r>
        <w:t xml:space="preserve">4.3 Technological Disruption</w:t>
      </w:r>
    </w:p>
    <w:p>
      <w:pPr>
        <w:pStyle w:val="FirstParagraph"/>
      </w:pPr>
      <w:r>
        <w:t xml:space="preserve">The integration of Artificial Intelligence (AI) and Data Analytics is reshaping audit methodologies.</w:t>
      </w:r>
    </w:p>
    <w:p>
      <w:pPr>
        <w:pStyle w:val="BodyText"/>
      </w:pPr>
      <w:r>
        <w:t xml:space="preserve">Auditor</w:t>
      </w:r>
      <w:r>
        <w:br/>
      </w:r>
      <w:r>
        <w:t xml:space="preserve">s in</w:t>
      </w:r>
      <w:r>
        <w:t xml:space="preserve"> </w:t>
      </w:r>
      <w:r>
        <w:rPr>
          <w:bCs/>
          <w:b/>
        </w:rPr>
        <w:t xml:space="preserve">Qatar Doha</w:t>
      </w:r>
      <w:r>
        <w:br/>
      </w:r>
      <w:r>
        <w:t xml:space="preserve">are under pressure to adopt these technologies to handle large datasets efficiently. Firms that fail to digitize their audit processes risk losing competitiveness, especially against global "Big Four" networks that have established strong footprints in the capital.</w:t>
      </w:r>
    </w:p>
    <w:bookmarkEnd w:id="30"/>
    <w:bookmarkEnd w:id="31"/>
    <w:bookmarkStart w:id="32" w:name="Xe25824e9d6fba9018f551943cffa5d330cc45ac"/>
    <w:p>
      <w:pPr>
        <w:pStyle w:val="Heading2"/>
      </w:pPr>
      <w:r>
        <w:t xml:space="preserve">5. The Strategic Importance of Auditor Independence</w:t>
      </w:r>
    </w:p>
    <w:p>
      <w:pPr>
        <w:pStyle w:val="FirstParagraph"/>
      </w:pPr>
      <w:r>
        <w:t xml:space="preserve">A cornerstone of audit quality is independence—both in fact and appearance. In</w:t>
      </w:r>
    </w:p>
    <w:p>
      <w:pPr>
        <w:pStyle w:val="BodyText"/>
      </w:pPr>
      <w:r>
        <w:t xml:space="preserve">Qatar Doha</w:t>
      </w:r>
      <w:r>
        <w:br/>
      </w:r>
      <w:r>
        <w:t xml:space="preserve">, where business relationships can be deeply personal and community-based, maintaining strict boundaries is challenging. Recent high-profile corporate cases have underscored the necessity for rigorous ethical walls within audit firms.</w:t>
      </w:r>
    </w:p>
    <w:p>
      <w:pPr>
        <w:pStyle w:val="BodyText"/>
      </w:pPr>
      <w:r>
        <w:t xml:space="preserve">The role of the</w:t>
      </w:r>
    </w:p>
    <w:p>
      <w:pPr>
        <w:pStyle w:val="BodyText"/>
      </w:pPr>
      <w:r>
        <w:t xml:space="preserve">Auditor</w:t>
      </w:r>
      <w:r>
        <w:br/>
      </w:r>
      <w:r>
        <w:t xml:space="preserve">extends beyond issuing a clean opinion; it involves providing honest feedback to stakeholders. In</w:t>
      </w:r>
    </w:p>
    <w:p>
      <w:pPr>
        <w:pStyle w:val="BodyText"/>
      </w:pPr>
      <w:r>
        <w:t xml:space="preserve">Qatar Doha</w:t>
      </w:r>
      <w:r>
        <w:br/>
      </w:r>
      <w:r>
        <w:t xml:space="preserve">, strengthening regulatory oversight mechanisms, such as the Qatar Financial Centre (QFC) Regulatory Authority’s supervisory powers, has helped reinforce this independence.</w:t>
      </w:r>
    </w:p>
    <w:bookmarkEnd w:id="32"/>
    <w:bookmarkStart w:id="33" w:name="recommendations-for-future-practice"/>
    <w:p>
      <w:pPr>
        <w:pStyle w:val="Heading2"/>
      </w:pPr>
      <w:r>
        <w:t xml:space="preserve">6. Recommendations for Future Practice</w:t>
      </w:r>
    </w:p>
    <w:p>
      <w:pPr>
        <w:numPr>
          <w:ilvl w:val="0"/>
          <w:numId w:val="1001"/>
        </w:numPr>
        <w:pStyle w:val="Compact"/>
      </w:pPr>
      <w:r>
        <w:rPr>
          <w:bCs/>
          <w:b/>
        </w:rPr>
        <w:t xml:space="preserve">Digital Literacy:</w:t>
      </w:r>
      <w:r>
        <w:t xml:space="preserve"> </w:t>
      </w:r>
      <w:r>
        <w:t xml:space="preserve">Audit firms in</w:t>
      </w:r>
    </w:p>
    <w:p>
      <w:pPr>
        <w:numPr>
          <w:ilvl w:val="0"/>
          <w:numId w:val="1000"/>
        </w:numPr>
        <w:pStyle w:val="Compact"/>
      </w:pPr>
      <w:r>
        <w:t xml:space="preserve">Qatar Doha</w:t>
      </w:r>
      <w:r>
        <w:br/>
      </w:r>
      <w:r>
        <w:t xml:space="preserve">should mandate training in data analytics, blockchain verification, and cyber-security auditing.</w:t>
      </w:r>
    </w:p>
    <w:p>
      <w:pPr>
        <w:numPr>
          <w:ilvl w:val="0"/>
          <w:numId w:val="1001"/>
        </w:numPr>
        <w:pStyle w:val="Compact"/>
      </w:pPr>
      <w:r>
        <w:rPr>
          <w:bCs/>
          <w:b/>
        </w:rPr>
        <w:t xml:space="preserve">Specialized Training:</w:t>
      </w:r>
      <w:r>
        <w:t xml:space="preserve"> </w:t>
      </w:r>
      <w:r>
        <w:t xml:space="preserve">Incorporate modules on ESG assurance into the curriculum for junior</w:t>
      </w:r>
      <w:r>
        <w:t xml:space="preserve"> </w:t>
      </w:r>
      <w:r>
        <w:rPr>
          <w:bCs/>
          <w:b/>
        </w:rPr>
        <w:t xml:space="preserve">Auditor</w:t>
      </w:r>
      <w:r>
        <w:br/>
      </w:r>
      <w:r>
        <w:t xml:space="preserve">trainees.</w:t>
      </w:r>
    </w:p>
    <w:p>
      <w:pPr>
        <w:numPr>
          <w:ilvl w:val="0"/>
          <w:numId w:val="1001"/>
        </w:numPr>
        <w:pStyle w:val="Compact"/>
      </w:pPr>
      <w:r>
        <w:rPr>
          <w:bCs/>
          <w:b/>
        </w:rPr>
        <w:t xml:space="preserve">Cultural Sensitivity Programs:</w:t>
      </w:r>
      <w:r>
        <w:t xml:space="preserve"> </w:t>
      </w:r>
      <w:r>
        <w:t xml:space="preserve">Enhance soft-skills training to facilitate better stakeholder engagement in the diverse business environment of</w:t>
      </w:r>
    </w:p>
    <w:p>
      <w:pPr>
        <w:numPr>
          <w:ilvl w:val="0"/>
          <w:numId w:val="1000"/>
        </w:numPr>
        <w:pStyle w:val="Compact"/>
      </w:pPr>
      <w:r>
        <w:t xml:space="preserve">Qatar Doha</w:t>
      </w:r>
      <w:r>
        <w:br/>
      </w:r>
    </w:p>
    <w:p>
      <w:pPr>
        <w:numPr>
          <w:ilvl w:val="0"/>
          <w:numId w:val="1001"/>
        </w:numPr>
        <w:pStyle w:val="Compact"/>
      </w:pPr>
      <w:r>
        <w:rPr>
          <w:bCs/>
          <w:b/>
        </w:rPr>
        <w:t xml:space="preserve">Mentorship Initiatives:</w:t>
      </w:r>
      <w:r>
        <w:t xml:space="preserve">Create structured programs where experienced international auditors mentor local Qatari professionals to accelerate knowledge transfer and skill acquisition.</w:t>
      </w:r>
    </w:p>
    <w:bookmarkEnd w:id="33"/>
    <w:bookmarkStart w:id="34" w:name="conclusion"/>
    <w:p>
      <w:pPr>
        <w:pStyle w:val="Heading2"/>
      </w:pPr>
      <w:r>
        <w:t xml:space="preserve">7. Conclusion</w:t>
      </w:r>
    </w:p>
    <w:p>
      <w:pPr>
        <w:pStyle w:val="FirstParagraph"/>
      </w:pPr>
      <w:r>
        <w:t xml:space="preserve">The position of the</w:t>
      </w:r>
      <w:r>
        <w:t xml:space="preserve"> </w:t>
      </w:r>
      <w:r>
        <w:rPr>
          <w:bCs/>
          <w:b/>
        </w:rPr>
        <w:t xml:space="preserve">Auditor</w:t>
      </w:r>
      <w:r>
        <w:br/>
      </w:r>
      <w:r>
        <w:t xml:space="preserve">in</w:t>
      </w:r>
    </w:p>
    <w:p>
      <w:pPr>
        <w:pStyle w:val="BodyText"/>
      </w:pPr>
      <w:r>
        <w:t xml:space="preserve">Qatar Doha</w:t>
      </w:r>
      <w:r>
        <w:br/>
      </w:r>
      <w:r>
        <w:t xml:space="preserve">is evolving from a traditional compliance role to a strategic advisor critical to economic stability. As the city continues its journey toward becoming a diversified global hub, the reliability of financial information will remain fundamental. Regulatory bodies in</w:t>
      </w:r>
    </w:p>
    <w:p>
      <w:pPr>
        <w:pStyle w:val="BodyText"/>
      </w:pPr>
      <w:r>
        <w:t xml:space="preserve">Qatar Doha</w:t>
      </w:r>
      <w:r>
        <w:br/>
      </w:r>
      <w:r>
        <w:t xml:space="preserve">have made significant strides in aligning with global standards, yet continuous improvement is necessary.</w:t>
      </w:r>
    </w:p>
    <w:p>
      <w:pPr>
        <w:pStyle w:val="BodyText"/>
      </w:pPr>
      <w:r>
        <w:t xml:space="preserve">Firms operating as an</w:t>
      </w:r>
    </w:p>
    <w:p>
      <w:pPr>
        <w:pStyle w:val="BodyText"/>
      </w:pPr>
      <w:r>
        <w:t xml:space="preserve">Auditor</w:t>
      </w:r>
      <w:r>
        <w:br/>
      </w:r>
      <w:r>
        <w:t xml:space="preserve">must adapt to technological changes, embrace sustainability reporting, and maintain unwavering independence. By doing so they not only protect investor interests but also contribute to the robust financial ecosystem required for</w:t>
      </w:r>
    </w:p>
    <w:p>
      <w:pPr>
        <w:pStyle w:val="BodyText"/>
      </w:pPr>
      <w:r>
        <w:t xml:space="preserve">Qatar Doha</w:t>
      </w:r>
      <w:r>
        <w:br/>
      </w:r>
      <w:r>
        <w:t xml:space="preserve">'s sustainable future.</w:t>
      </w:r>
    </w:p>
    <w:bookmarkEnd w:id="34"/>
    <w:bookmarkStart w:id="35" w:name="references"/>
    <w:p>
      <w:pPr>
        <w:pStyle w:val="Heading2"/>
      </w:pPr>
      <w:r>
        <w:t xml:space="preserve">References</w:t>
      </w:r>
    </w:p>
    <w:p>
      <w:pPr>
        <w:numPr>
          <w:ilvl w:val="0"/>
          <w:numId w:val="1002"/>
        </w:numPr>
        <w:pStyle w:val="Compact"/>
      </w:pPr>
      <w:r>
        <w:t xml:space="preserve">Ali, M. (2021). *Corporate Governance and Audit Quality in the GCC Region*. Journal of Financial Regulation, 15(3), 45-60.</w:t>
      </w:r>
    </w:p>
    <w:p>
      <w:pPr>
        <w:numPr>
          <w:ilvl w:val="0"/>
          <w:numId w:val="1002"/>
        </w:numPr>
        <w:pStyle w:val="Compact"/>
      </w:pPr>
      <w:r>
        <w:t xml:space="preserve">Al-Khalifi, S. &amp; Ahmed, Z. (2023). "The Impact of Technology on Auditing Practices in Doha." *Middle East Accounting Review*, 8(1), 112-129.</w:t>
      </w:r>
    </w:p>
    <w:p>
      <w:pPr>
        <w:numPr>
          <w:ilvl w:val="0"/>
          <w:numId w:val="1002"/>
        </w:numPr>
        <w:pStyle w:val="Compact"/>
      </w:pPr>
      <w:r>
        <w:t xml:space="preserve">KPMG Qatar. (2024). *Annual Audit Outlook: Navigating Changes in Qatari Law*. Doha: KPMG Middle East.</w:t>
      </w:r>
    </w:p>
    <w:p>
      <w:pPr>
        <w:numPr>
          <w:ilvl w:val="0"/>
          <w:numId w:val="1002"/>
        </w:numPr>
        <w:pStyle w:val="Compact"/>
      </w:pPr>
      <w:r>
        <w:t xml:space="preserve">Qatar Financial Markets Authority (QFMA). (2023). *Code of Corporate Governance for Listed Companies*. Doha: QFMA Publications.</w:t>
      </w:r>
    </w:p>
    <w:p>
      <w:pPr>
        <w:numPr>
          <w:ilvl w:val="0"/>
          <w:numId w:val="1002"/>
        </w:numPr>
        <w:pStyle w:val="Compact"/>
      </w:pPr>
      <w:r>
        <w:t xml:space="preserve">Zain, J. &amp; Ismail, N. (2019). "Challenges of Implementing IFRS in Qatar." *Asian Review of Accounting*, 27(4), 567-583.</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Qatar Doha: Navigating Regulatory Frameworks and Economic Diversification</dc:title>
  <dc:creator/>
  <dc:language>en</dc:language>
  <cp:keywords/>
  <dcterms:created xsi:type="dcterms:W3CDTF">2026-07-29T12:34:48Z</dcterms:created>
  <dcterms:modified xsi:type="dcterms:W3CDTF">2026-07-29T12:34:48Z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